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31C6400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2CE8532">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76E05AE4">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项目三  </w:t>
            </w:r>
            <w:r>
              <w:rPr>
                <w:rFonts w:hint="eastAsia" w:ascii="微软雅黑" w:hAnsi="微软雅黑"/>
                <w:b/>
                <w:color w:val="1F4E79"/>
                <w:sz w:val="32"/>
                <w:szCs w:val="30"/>
              </w:rPr>
              <w:t>消费税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（二）</w:t>
            </w:r>
          </w:p>
        </w:tc>
      </w:tr>
      <w:tr w14:paraId="7517D3D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0ADB614">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789A9F36">
            <w:pPr>
              <w:pStyle w:val="4"/>
              <w:ind w:firstLine="180" w:firstLineChars="100"/>
            </w:pPr>
            <w:r>
              <w:rPr>
                <w:rFonts w:hint="eastAsia"/>
                <w:lang w:val="en-US" w:eastAsia="zh-CN"/>
              </w:rPr>
              <w:t>4</w:t>
            </w:r>
            <w:r>
              <w:t>课时</w:t>
            </w:r>
            <w:r>
              <w:rPr>
                <w:rFonts w:hint="eastAsia"/>
              </w:rPr>
              <w:t>（</w:t>
            </w:r>
            <w:r>
              <w:rPr>
                <w:rFonts w:hint="eastAsia"/>
                <w:lang w:val="en-US" w:eastAsia="zh-CN"/>
              </w:rPr>
              <w:t>180</w:t>
            </w:r>
            <w:r>
              <w:rPr>
                <w:rFonts w:hint="eastAsia"/>
              </w:rPr>
              <w:t xml:space="preserve"> min）</w:t>
            </w:r>
          </w:p>
        </w:tc>
      </w:tr>
      <w:tr w14:paraId="5F64BDC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7615D61">
            <w:pPr>
              <w:pStyle w:val="4"/>
              <w:jc w:val="center"/>
            </w:pPr>
            <w:r>
              <w:rPr>
                <w:rFonts w:ascii="微软雅黑" w:hAnsi="微软雅黑"/>
                <w:b/>
              </w:rPr>
              <w:t>教学目标</w:t>
            </w:r>
          </w:p>
        </w:tc>
        <w:tc>
          <w:tcPr>
            <w:tcW w:w="8347" w:type="dxa"/>
            <w:shd w:val="clear" w:color="auto" w:fill="FFFFFF"/>
            <w:vAlign w:val="center"/>
          </w:tcPr>
          <w:p w14:paraId="76CD790F">
            <w:pPr>
              <w:pStyle w:val="4"/>
              <w:ind w:firstLine="180" w:firstLineChars="100"/>
              <w:rPr>
                <w:rFonts w:ascii="微软雅黑" w:hAnsi="微软雅黑"/>
                <w:b/>
                <w:color w:val="833C0B"/>
              </w:rPr>
            </w:pPr>
            <w:r>
              <w:rPr>
                <w:rFonts w:hint="eastAsia" w:ascii="微软雅黑" w:hAnsi="微软雅黑"/>
                <w:b/>
                <w:color w:val="833C0B"/>
              </w:rPr>
              <w:t>知识技能目标：</w:t>
            </w:r>
          </w:p>
          <w:p w14:paraId="73E70AA0">
            <w:pPr>
              <w:pStyle w:val="4"/>
              <w:ind w:firstLine="360" w:firstLineChars="200"/>
            </w:pPr>
            <w:r>
              <w:rPr>
                <w:rFonts w:hint="eastAsia"/>
              </w:rPr>
              <w:t>（1）掌握生产销售环节应纳税额的计算方法。</w:t>
            </w:r>
          </w:p>
          <w:p w14:paraId="1044DFFD">
            <w:pPr>
              <w:pStyle w:val="4"/>
              <w:ind w:firstLine="360" w:firstLineChars="200"/>
            </w:pPr>
            <w:r>
              <w:rPr>
                <w:rFonts w:hint="eastAsia"/>
              </w:rPr>
              <w:t>（2）掌握委托加工环节应纳税额的计算方法</w:t>
            </w:r>
            <w:r>
              <w:t>。</w:t>
            </w:r>
          </w:p>
          <w:p w14:paraId="0D21F59B">
            <w:pPr>
              <w:pStyle w:val="4"/>
              <w:ind w:firstLine="360" w:firstLineChars="200"/>
            </w:pPr>
            <w:r>
              <w:rPr>
                <w:rFonts w:hint="eastAsia"/>
              </w:rPr>
              <w:t>（3）掌握进口环节应纳税额的计算方法。</w:t>
            </w:r>
          </w:p>
          <w:p w14:paraId="35A2A7F6">
            <w:pPr>
              <w:pStyle w:val="4"/>
              <w:ind w:firstLine="360" w:firstLineChars="200"/>
            </w:pPr>
            <w:r>
              <w:rPr>
                <w:rFonts w:hint="eastAsia"/>
              </w:rPr>
              <w:t>（4）掌握特殊环节应纳税额的计算方法。</w:t>
            </w:r>
          </w:p>
          <w:p w14:paraId="3EFAD58F">
            <w:pPr>
              <w:pStyle w:val="4"/>
              <w:ind w:firstLine="360" w:firstLineChars="200"/>
            </w:pPr>
            <w:r>
              <w:rPr>
                <w:rFonts w:hint="eastAsia"/>
              </w:rPr>
              <w:t>（5）掌握已纳消费税税额扣除的计算方法。</w:t>
            </w:r>
          </w:p>
          <w:p w14:paraId="5D9EABF6">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2FF3667">
            <w:pPr>
              <w:pStyle w:val="4"/>
              <w:ind w:firstLine="360" w:firstLineChars="200"/>
            </w:pPr>
            <w:r>
              <w:rPr>
                <w:rFonts w:hint="eastAsia"/>
              </w:rPr>
              <w:t>（1）增强节能环保、绿色低碳意识。</w:t>
            </w:r>
          </w:p>
          <w:p w14:paraId="194AC21D">
            <w:pPr>
              <w:pStyle w:val="4"/>
              <w:ind w:firstLine="360" w:firstLineChars="200"/>
            </w:pPr>
            <w:r>
              <w:rPr>
                <w:rFonts w:hint="eastAsia"/>
              </w:rPr>
              <w:t>（2）树立理性消费观念。</w:t>
            </w:r>
          </w:p>
        </w:tc>
      </w:tr>
      <w:tr w14:paraId="04ED9A2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75F749D">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2CB0E1CB">
            <w:pPr>
              <w:pStyle w:val="4"/>
              <w:ind w:firstLine="180" w:firstLineChars="100"/>
            </w:pPr>
            <w:r>
              <w:rPr>
                <w:rFonts w:hint="eastAsia" w:ascii="微软雅黑" w:hAnsi="微软雅黑"/>
                <w:b/>
                <w:color w:val="1F4E79"/>
              </w:rPr>
              <w:t>教学重点：</w:t>
            </w:r>
            <w:r>
              <w:rPr>
                <w:rFonts w:hint="eastAsia"/>
              </w:rPr>
              <w:t>学会消费税的应纳税额的计算，并能正确计算出消费税的应纳税额</w:t>
            </w:r>
          </w:p>
          <w:p w14:paraId="55352205">
            <w:pPr>
              <w:pStyle w:val="4"/>
              <w:ind w:firstLine="180" w:firstLineChars="100"/>
              <w:rPr>
                <w:rFonts w:hint="eastAsia" w:eastAsia="微软雅黑"/>
                <w:lang w:val="en-US" w:eastAsia="zh-CN"/>
              </w:rPr>
            </w:pPr>
            <w:r>
              <w:rPr>
                <w:rFonts w:hint="eastAsia" w:ascii="微软雅黑" w:hAnsi="微软雅黑"/>
                <w:b/>
                <w:color w:val="1F4E79"/>
              </w:rPr>
              <w:t>教学难点：</w:t>
            </w:r>
            <w:r>
              <w:rPr>
                <w:rFonts w:hint="eastAsia"/>
                <w:lang w:val="en-US" w:eastAsia="zh-CN"/>
              </w:rPr>
              <w:t>委托加工环节</w:t>
            </w:r>
            <w:r>
              <w:rPr>
                <w:rFonts w:hint="eastAsia"/>
              </w:rPr>
              <w:t>消费税的应纳税额</w:t>
            </w:r>
            <w:r>
              <w:rPr>
                <w:rFonts w:hint="eastAsia"/>
                <w:lang w:val="en-US" w:eastAsia="zh-CN"/>
              </w:rPr>
              <w:t>计算</w:t>
            </w:r>
          </w:p>
        </w:tc>
      </w:tr>
      <w:tr w14:paraId="6F7B9C6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4A08B770">
            <w:pPr>
              <w:pStyle w:val="4"/>
              <w:jc w:val="center"/>
            </w:pPr>
            <w:r>
              <w:rPr>
                <w:rFonts w:ascii="微软雅黑" w:hAnsi="微软雅黑"/>
                <w:b/>
              </w:rPr>
              <w:t>教学方法</w:t>
            </w:r>
          </w:p>
        </w:tc>
        <w:tc>
          <w:tcPr>
            <w:tcW w:w="8347" w:type="dxa"/>
            <w:shd w:val="clear" w:color="auto" w:fill="FFFFFF"/>
            <w:vAlign w:val="center"/>
          </w:tcPr>
          <w:p w14:paraId="4D1DFC24">
            <w:pPr>
              <w:pStyle w:val="4"/>
              <w:ind w:firstLine="180" w:firstLineChars="100"/>
            </w:pPr>
            <w:r>
              <w:rPr>
                <w:rFonts w:hint="eastAsia"/>
              </w:rPr>
              <w:t>案例分析法、问答法、讨论法、讲授法</w:t>
            </w:r>
          </w:p>
        </w:tc>
      </w:tr>
      <w:tr w14:paraId="3226CF0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4ABDF18">
            <w:pPr>
              <w:pStyle w:val="4"/>
              <w:jc w:val="center"/>
            </w:pPr>
            <w:r>
              <w:rPr>
                <w:rFonts w:ascii="微软雅黑" w:hAnsi="微软雅黑"/>
                <w:b/>
              </w:rPr>
              <w:t>教学用具</w:t>
            </w:r>
          </w:p>
        </w:tc>
        <w:tc>
          <w:tcPr>
            <w:tcW w:w="8347" w:type="dxa"/>
            <w:shd w:val="clear" w:color="auto" w:fill="FFFFFF"/>
            <w:vAlign w:val="center"/>
          </w:tcPr>
          <w:p w14:paraId="0EDAC4B6">
            <w:pPr>
              <w:pStyle w:val="4"/>
              <w:ind w:firstLine="180" w:firstLineChars="100"/>
            </w:pPr>
            <w:r>
              <w:rPr>
                <w:rFonts w:hint="eastAsia"/>
              </w:rPr>
              <w:t>电脑、投影仪、</w:t>
            </w:r>
            <w:r>
              <w:t>多媒体</w:t>
            </w:r>
            <w:r>
              <w:rPr>
                <w:rFonts w:hint="eastAsia"/>
              </w:rPr>
              <w:t>课件、教材</w:t>
            </w:r>
          </w:p>
        </w:tc>
      </w:tr>
      <w:tr w14:paraId="00E7D69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5B20565">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FD40DCB">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032AD75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DF052B3">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03871975">
            <w:pPr>
              <w:pStyle w:val="4"/>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案例，要求学生根据</w:t>
            </w:r>
            <w:r>
              <w:rPr>
                <w:rFonts w:hint="eastAsia" w:ascii="微软雅黑" w:hAnsi="微软雅黑"/>
                <w:b/>
                <w:color w:val="1F4E79"/>
              </w:rPr>
              <w:t>企业概况和基本业务完成以下任务：</w:t>
            </w:r>
          </w:p>
          <w:p w14:paraId="3461FA9D">
            <w:pPr>
              <w:pStyle w:val="4"/>
              <w:ind w:firstLine="360" w:firstLineChars="200"/>
              <w:rPr>
                <w:rFonts w:ascii="微软雅黑" w:hAnsi="微软雅黑"/>
                <w:kern w:val="2"/>
                <w:szCs w:val="18"/>
                <w:lang w:eastAsia="zh-CN"/>
              </w:rPr>
            </w:pPr>
            <w:r>
              <w:rPr>
                <w:rFonts w:hint="eastAsia" w:ascii="微软雅黑" w:hAnsi="微软雅黑"/>
                <w:kern w:val="2"/>
                <w:szCs w:val="18"/>
                <w:lang w:eastAsia="zh-CN"/>
              </w:rPr>
              <w:t>请计算公司</w:t>
            </w:r>
            <w:r>
              <w:rPr>
                <w:rFonts w:hint="default" w:ascii="Arial" w:hAnsi="Arial" w:cs="Arial"/>
                <w:kern w:val="2"/>
                <w:szCs w:val="18"/>
                <w:lang w:eastAsia="zh-CN"/>
              </w:rPr>
              <w:t>××</w:t>
            </w:r>
            <w:r>
              <w:rPr>
                <w:rFonts w:hint="eastAsia" w:ascii="微软雅黑" w:hAnsi="微软雅黑"/>
                <w:kern w:val="2"/>
                <w:szCs w:val="18"/>
                <w:lang w:eastAsia="zh-CN"/>
              </w:rPr>
              <w:t>年</w:t>
            </w:r>
            <w:r>
              <w:rPr>
                <w:rFonts w:hint="eastAsia" w:ascii="微软雅黑" w:hAnsi="微软雅黑"/>
                <w:kern w:val="2"/>
                <w:szCs w:val="18"/>
                <w:lang w:val="en-US" w:eastAsia="zh-CN"/>
              </w:rPr>
              <w:t>1</w:t>
            </w:r>
            <w:r>
              <w:rPr>
                <w:rFonts w:hint="eastAsia" w:ascii="微软雅黑" w:hAnsi="微软雅黑"/>
                <w:kern w:val="2"/>
                <w:szCs w:val="18"/>
                <w:lang w:eastAsia="zh-CN"/>
              </w:rPr>
              <w:t>月应缴纳的消费税税额。</w:t>
            </w:r>
          </w:p>
          <w:p w14:paraId="32889BB4">
            <w:pPr>
              <w:pStyle w:val="4"/>
              <w:ind w:firstLine="164" w:firstLineChars="100"/>
              <w:rPr>
                <w:rFonts w:ascii="微软雅黑" w:hAnsi="微软雅黑"/>
                <w:b/>
                <w:kern w:val="2"/>
                <w:szCs w:val="18"/>
              </w:rPr>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300C45A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0DA51514">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0DE364D2">
            <w:pPr>
              <w:pStyle w:val="4"/>
              <w:ind w:firstLine="180" w:firstLineChars="100"/>
              <w:rPr>
                <w:b/>
                <w:lang w:bidi="ar"/>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，讲解生产销售环节、委托加工环节、进口环节、特殊环节应纳税额的计算，以及已纳消费税税额扣除的计算等内容</w:t>
            </w:r>
          </w:p>
          <w:p w14:paraId="7FFE063D">
            <w:pPr>
              <w:pStyle w:val="4"/>
              <w:ind w:firstLine="360" w:firstLineChars="200"/>
              <w:rPr>
                <w:b/>
                <w:lang w:bidi="ar"/>
              </w:rPr>
            </w:pPr>
            <w:r>
              <w:rPr>
                <w:rFonts w:hint="eastAsia"/>
                <w:b/>
                <w:lang w:bidi="ar"/>
              </w:rPr>
              <w:t>一、生产销售环节应纳税额的计算</w:t>
            </w:r>
          </w:p>
          <w:p w14:paraId="60FDDF7C">
            <w:pPr>
              <w:pStyle w:val="4"/>
              <w:ind w:firstLine="360" w:firstLineChars="200"/>
              <w:rPr>
                <w:b/>
                <w:lang w:bidi="ar"/>
              </w:rPr>
            </w:pPr>
            <w:r>
              <w:rPr>
                <w:rFonts w:hint="eastAsia"/>
                <w:b/>
                <w:lang w:bidi="ar"/>
              </w:rPr>
              <w:t>（一）直接对外销售应税消费品应纳税额的计算</w:t>
            </w:r>
          </w:p>
          <w:p w14:paraId="01572B8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【教师】讲解消费税中直接对外销售应纳税额的计算</w:t>
            </w:r>
          </w:p>
          <w:p w14:paraId="428CD78C">
            <w:pPr>
              <w:pStyle w:val="4"/>
              <w:ind w:firstLine="360" w:firstLineChars="200"/>
              <w:rPr>
                <w:lang w:bidi="ar"/>
              </w:rPr>
            </w:pPr>
            <w:r>
              <w:rPr>
                <w:rFonts w:hint="eastAsia"/>
                <w:lang w:bidi="ar"/>
              </w:rPr>
              <w:t>直接对外销售应税消费品应纳税额的计算分为从价定率计算、从量定额计算、从价定率和从量定额复合计算。</w:t>
            </w:r>
          </w:p>
          <w:p w14:paraId="22179478">
            <w:pPr>
              <w:pStyle w:val="4"/>
              <w:ind w:firstLine="360" w:firstLineChars="200"/>
              <w:rPr>
                <w:lang w:bidi="ar"/>
              </w:rPr>
            </w:pPr>
            <w:r>
              <w:rPr>
                <w:rFonts w:hint="eastAsia"/>
                <w:lang w:bidi="ar"/>
              </w:rPr>
              <w:t>1．从价定率计算</w:t>
            </w:r>
          </w:p>
          <w:p w14:paraId="20109486">
            <w:pPr>
              <w:pStyle w:val="4"/>
              <w:ind w:firstLine="360" w:firstLineChars="200"/>
              <w:rPr>
                <w:lang w:bidi="ar"/>
              </w:rPr>
            </w:pPr>
            <w:r>
              <w:rPr>
                <w:rFonts w:hint="eastAsia"/>
                <w:lang w:bidi="ar"/>
              </w:rPr>
              <w:t>实行从价定率方法计税的，应纳税额的计算公式如下：</w:t>
            </w:r>
          </w:p>
          <w:p w14:paraId="48F867AF">
            <w:pPr>
              <w:pStyle w:val="4"/>
              <w:shd w:val="clear" w:color="auto" w:fill="FDF3ED"/>
              <w:ind w:firstLine="360" w:firstLineChars="200"/>
              <w:jc w:val="center"/>
              <w:rPr>
                <w:b/>
                <w:lang w:bidi="ar"/>
              </w:rPr>
            </w:pPr>
            <w:r>
              <w:rPr>
                <w:rFonts w:hint="eastAsia"/>
                <w:b/>
                <w:lang w:bidi="ar"/>
              </w:rPr>
              <w:t>应纳税额=应税销售额×比例税率</w:t>
            </w:r>
          </w:p>
          <w:p w14:paraId="19EF2889">
            <w:pPr>
              <w:pStyle w:val="4"/>
              <w:ind w:firstLine="360" w:firstLineChars="200"/>
              <w:rPr>
                <w:lang w:bidi="ar"/>
              </w:rPr>
            </w:pPr>
            <w:r>
              <w:rPr>
                <w:rFonts w:hint="eastAsia"/>
                <w:lang w:bidi="ar"/>
              </w:rPr>
              <w:t>应税销售额为纳税人销售应税消费品时向购买方收取的全部价款和价外费用，但不包括向购买方收取的增值税税额。</w:t>
            </w:r>
          </w:p>
          <w:p w14:paraId="1DB921F9">
            <w:pPr>
              <w:pStyle w:val="4"/>
              <w:ind w:firstLine="360" w:firstLineChars="200"/>
              <w:rPr>
                <w:lang w:bidi="ar"/>
              </w:rPr>
            </w:pPr>
            <w:r>
              <w:rPr>
                <w:rFonts w:hint="eastAsia"/>
                <w:lang w:bidi="ar"/>
              </w:rPr>
              <w:t>其中，价外费用是指价外向购买方收取的手续费、补贴、基金、集资费、返还利润、奖励费、违约金、滞纳金、延期付款利息、赔偿金、代收款项、代垫款项、包装费、包装物租金、储备费、优质费、运输装卸费及其他各种性质的价外收费。但是，表2-2所列的款项不属于价外费用。</w:t>
            </w:r>
          </w:p>
          <w:p w14:paraId="60A24938">
            <w:pPr>
              <w:pStyle w:val="4"/>
              <w:ind w:firstLine="360" w:firstLineChars="200"/>
              <w:jc w:val="center"/>
              <w:rPr>
                <w:lang w:bidi="ar"/>
              </w:rPr>
            </w:pPr>
            <w:r>
              <w:rPr>
                <w:rFonts w:hint="eastAsia"/>
                <w:lang w:bidi="ar"/>
              </w:rPr>
              <w:t>表2-2  不属于价外费用的款项</w:t>
            </w:r>
          </w:p>
          <w:tbl>
            <w:tblPr>
              <w:tblStyle w:val="2"/>
              <w:tblW w:w="7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2"/>
              <w:gridCol w:w="5392"/>
            </w:tblGrid>
            <w:tr w14:paraId="0A74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2" w:type="dxa"/>
                  <w:shd w:val="clear" w:color="auto" w:fill="DAE3F4" w:themeFill="accent1" w:themeFillTint="33"/>
                  <w:vAlign w:val="center"/>
                </w:tcPr>
                <w:p w14:paraId="34D3178E">
                  <w:pPr>
                    <w:pStyle w:val="4"/>
                    <w:jc w:val="center"/>
                  </w:pPr>
                  <w:r>
                    <w:rPr>
                      <w:rFonts w:hint="eastAsia"/>
                    </w:rPr>
                    <w:t>款项</w:t>
                  </w:r>
                </w:p>
              </w:tc>
              <w:tc>
                <w:tcPr>
                  <w:tcW w:w="5392" w:type="dxa"/>
                  <w:shd w:val="clear" w:color="auto" w:fill="DAE3F4" w:themeFill="accent1" w:themeFillTint="33"/>
                  <w:vAlign w:val="center"/>
                </w:tcPr>
                <w:p w14:paraId="7CCC84C3">
                  <w:pPr>
                    <w:pStyle w:val="4"/>
                    <w:jc w:val="center"/>
                  </w:pPr>
                  <w:r>
                    <w:rPr>
                      <w:rFonts w:hint="eastAsia"/>
                    </w:rPr>
                    <w:t>条件</w:t>
                  </w:r>
                </w:p>
              </w:tc>
            </w:tr>
            <w:tr w14:paraId="017C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2" w:type="dxa"/>
                  <w:shd w:val="clear" w:color="auto" w:fill="auto"/>
                  <w:vAlign w:val="center"/>
                </w:tcPr>
                <w:p w14:paraId="2F640491">
                  <w:pPr>
                    <w:pStyle w:val="4"/>
                    <w:ind w:firstLine="180" w:firstLineChars="100"/>
                    <w:jc w:val="left"/>
                  </w:pPr>
                  <w:r>
                    <w:rPr>
                      <w:rFonts w:hint="eastAsia"/>
                    </w:rPr>
                    <w:t>代垫运输费用</w:t>
                  </w:r>
                </w:p>
              </w:tc>
              <w:tc>
                <w:tcPr>
                  <w:tcW w:w="5392" w:type="dxa"/>
                  <w:shd w:val="clear" w:color="auto" w:fill="auto"/>
                  <w:vAlign w:val="center"/>
                </w:tcPr>
                <w:p w14:paraId="14E59CA4">
                  <w:pPr>
                    <w:pStyle w:val="4"/>
                    <w:ind w:left="180"/>
                  </w:pPr>
                  <w:r>
                    <w:rPr>
                      <w:rFonts w:hint="eastAsia"/>
                    </w:rPr>
                    <w:t>同时符合以下条件：</w:t>
                  </w:r>
                </w:p>
                <w:p w14:paraId="1AD58659">
                  <w:pPr>
                    <w:pStyle w:val="4"/>
                    <w:ind w:left="180"/>
                  </w:pPr>
                  <w:r>
                    <w:rPr>
                      <w:rFonts w:hint="eastAsia"/>
                    </w:rPr>
                    <w:t>① 承运部门的运输费用发票开具给购买方的；</w:t>
                  </w:r>
                </w:p>
                <w:p w14:paraId="2CF8CA27">
                  <w:pPr>
                    <w:pStyle w:val="4"/>
                    <w:ind w:firstLine="180" w:firstLineChars="100"/>
                  </w:pPr>
                  <w:r>
                    <w:rPr>
                      <w:rFonts w:hint="eastAsia"/>
                    </w:rPr>
                    <w:t>②</w:t>
                  </w:r>
                  <w:r>
                    <w:t xml:space="preserve"> </w:t>
                  </w:r>
                  <w:r>
                    <w:rPr>
                      <w:rFonts w:hint="eastAsia"/>
                    </w:rPr>
                    <w:t>纳税人将该项发票转交给购买方的</w:t>
                  </w:r>
                </w:p>
              </w:tc>
            </w:tr>
            <w:tr w14:paraId="2D97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2" w:type="dxa"/>
                  <w:shd w:val="clear" w:color="auto" w:fill="auto"/>
                  <w:vAlign w:val="center"/>
                </w:tcPr>
                <w:p w14:paraId="2C82924C">
                  <w:pPr>
                    <w:pStyle w:val="4"/>
                    <w:ind w:firstLine="180" w:firstLineChars="100"/>
                    <w:rPr>
                      <w:b/>
                      <w:bCs/>
                    </w:rPr>
                  </w:pPr>
                  <w:r>
                    <w:rPr>
                      <w:rFonts w:hint="eastAsia"/>
                    </w:rPr>
                    <w:t>代为收取的政府性基金或者行政事业性收费</w:t>
                  </w:r>
                </w:p>
              </w:tc>
              <w:tc>
                <w:tcPr>
                  <w:tcW w:w="5392" w:type="dxa"/>
                  <w:shd w:val="clear" w:color="auto" w:fill="auto"/>
                  <w:vAlign w:val="center"/>
                </w:tcPr>
                <w:p w14:paraId="52DF3828">
                  <w:pPr>
                    <w:pStyle w:val="4"/>
                    <w:ind w:firstLine="180" w:firstLineChars="100"/>
                  </w:pPr>
                  <w:r>
                    <w:rPr>
                      <w:rFonts w:hint="eastAsia"/>
                    </w:rPr>
                    <w:t>同时符合以下条件：</w:t>
                  </w:r>
                </w:p>
                <w:p w14:paraId="089705AD">
                  <w:pPr>
                    <w:pStyle w:val="4"/>
                    <w:ind w:firstLine="180" w:firstLineChars="100"/>
                  </w:pPr>
                  <w:r>
                    <w:rPr>
                      <w:rFonts w:hint="eastAsia"/>
                    </w:rPr>
                    <w:t>① 由国务院或者财政部批准设立的政府性基金，由国务院或者省级人民政府及其财政、价格主管部门批准设立的行政事业性收费；</w:t>
                  </w:r>
                </w:p>
                <w:p w14:paraId="1EBD7E37">
                  <w:pPr>
                    <w:pStyle w:val="4"/>
                    <w:ind w:firstLine="180" w:firstLineChars="100"/>
                  </w:pPr>
                  <w:r>
                    <w:rPr>
                      <w:rFonts w:hint="eastAsia"/>
                    </w:rPr>
                    <w:t>②</w:t>
                  </w:r>
                  <w:r>
                    <w:t xml:space="preserve"> </w:t>
                  </w:r>
                  <w:r>
                    <w:rPr>
                      <w:rFonts w:hint="eastAsia"/>
                    </w:rPr>
                    <w:t>收取时开具省级以上财政部门印制的财政票据；</w:t>
                  </w:r>
                </w:p>
                <w:p w14:paraId="4AD8C457">
                  <w:pPr>
                    <w:pStyle w:val="4"/>
                    <w:ind w:firstLine="180" w:firstLineChars="100"/>
                  </w:pPr>
                  <w:r>
                    <w:rPr>
                      <w:rFonts w:hint="eastAsia"/>
                    </w:rPr>
                    <w:t>③</w:t>
                  </w:r>
                  <w:r>
                    <w:t xml:space="preserve"> </w:t>
                  </w:r>
                  <w:r>
                    <w:rPr>
                      <w:rFonts w:hint="eastAsia"/>
                    </w:rPr>
                    <w:t>所收款项全额上缴财政</w:t>
                  </w:r>
                </w:p>
              </w:tc>
            </w:tr>
          </w:tbl>
          <w:p w14:paraId="12D15D75">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从价定率方法计税的</w:t>
            </w:r>
            <w:r>
              <w:rPr>
                <w:b/>
              </w:rPr>
              <w:t>方法</w:t>
            </w:r>
          </w:p>
          <w:p w14:paraId="3E403C9B">
            <w:pPr>
              <w:shd w:val="clear" w:color="auto" w:fill="FDF3ED"/>
              <w:ind w:firstLine="360" w:firstLineChars="200"/>
              <w:rPr>
                <w:rFonts w:ascii="Times New Roman" w:hAnsi="Times New Roman" w:eastAsia="微软雅黑"/>
                <w:b/>
                <w:sz w:val="18"/>
              </w:rPr>
            </w:pPr>
            <w:r>
              <w:rPr>
                <w:rFonts w:hint="eastAsia" w:ascii="Times New Roman" w:hAnsi="Times New Roman" w:eastAsia="微软雅黑"/>
                <w:b/>
                <w:sz w:val="18"/>
              </w:rPr>
              <w:t>【例2-1】</w:t>
            </w:r>
            <w:r>
              <w:rPr>
                <w:rFonts w:hint="eastAsia" w:ascii="Times New Roman" w:hAnsi="Times New Roman" w:eastAsia="微软雅黑"/>
                <w:sz w:val="18"/>
              </w:rPr>
              <w:t>某化妆品生产企业为一般纳税人。2023年</w:t>
            </w:r>
            <w:r>
              <w:rPr>
                <w:rFonts w:hint="eastAsia" w:ascii="Times New Roman" w:hAnsi="Times New Roman" w:eastAsia="微软雅黑"/>
                <w:sz w:val="18"/>
                <w:lang w:val="en-US" w:eastAsia="zh-CN"/>
              </w:rPr>
              <w:t>1</w:t>
            </w:r>
            <w:r>
              <w:rPr>
                <w:rFonts w:hint="eastAsia" w:ascii="Times New Roman" w:hAnsi="Times New Roman" w:eastAsia="微软雅黑"/>
                <w:sz w:val="18"/>
              </w:rPr>
              <w:t>月15日，该企业向某大型商场销售一批高档化妆品，开具增值税专用发票，取得销售额30万元、增值税税额3.9万元；8月20日，向某单位销售一批高档化妆品，开具普通发票，取得含增值税销售额4.52万元。已知高档化妆品适用的消费税税率为15%，请计算该企业当月应缴纳的消费税税额</w:t>
            </w:r>
            <w:r>
              <w:rPr>
                <w:rFonts w:hint="eastAsia" w:ascii="Times New Roman" w:hAnsi="Times New Roman" w:eastAsia="微软雅黑"/>
                <w:b/>
                <w:sz w:val="18"/>
              </w:rPr>
              <w:t>。</w:t>
            </w:r>
          </w:p>
          <w:p w14:paraId="0C73C18D">
            <w:pPr>
              <w:pStyle w:val="4"/>
              <w:shd w:val="clear" w:color="auto" w:fill="FDF3ED"/>
              <w:ind w:firstLine="360" w:firstLineChars="200"/>
              <w:rPr>
                <w:b/>
              </w:rPr>
            </w:pPr>
            <w:r>
              <w:rPr>
                <w:rFonts w:hint="eastAsia"/>
                <w:b/>
              </w:rPr>
              <w:t>【解析】</w:t>
            </w:r>
          </w:p>
          <w:p w14:paraId="00A04A1C">
            <w:pPr>
              <w:pStyle w:val="4"/>
              <w:shd w:val="clear" w:color="auto" w:fill="FDF3ED"/>
              <w:ind w:firstLine="360" w:firstLineChars="200"/>
            </w:pPr>
            <w:r>
              <w:rPr>
                <w:rFonts w:hint="eastAsia"/>
              </w:rPr>
              <w:t>应税销售额=30+4.52÷（1+13%）=34万元</w:t>
            </w:r>
          </w:p>
          <w:p w14:paraId="1BABA59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应缴纳的消费税税额=34×15%=5.1万元</w:t>
            </w:r>
          </w:p>
          <w:p w14:paraId="19F77A61">
            <w:pPr>
              <w:shd w:val="clear" w:color="auto" w:fill="FDF3ED"/>
              <w:ind w:firstLine="360" w:firstLineChars="200"/>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55A51087">
            <w:pPr>
              <w:pStyle w:val="4"/>
              <w:shd w:val="clear" w:color="auto" w:fill="FDF3ED"/>
              <w:ind w:firstLine="360" w:firstLineChars="200"/>
              <w:rPr>
                <w:rFonts w:ascii="MS Mincho" w:hAnsi="MS Mincho" w:cs="MS Mincho"/>
                <w:b/>
              </w:rPr>
            </w:pPr>
            <w:r>
              <w:rPr>
                <w:rFonts w:hint="eastAsia"/>
                <w:b/>
              </w:rPr>
              <w:t>【知识拓展】</w:t>
            </w:r>
          </w:p>
          <w:p w14:paraId="104B5DA4">
            <w:pPr>
              <w:pStyle w:val="4"/>
              <w:shd w:val="clear" w:color="auto" w:fill="FDF3ED"/>
              <w:ind w:firstLine="360" w:firstLineChars="200"/>
              <w:rPr>
                <w:b/>
              </w:rPr>
            </w:pPr>
            <w:r>
              <w:rPr>
                <w:rFonts w:ascii="MS Mincho" w:hAnsi="MS Mincho" w:cs="MS Mincho"/>
                <w:b/>
              </w:rPr>
              <w:t>✈</w:t>
            </w:r>
            <w:r>
              <w:rPr>
                <w:rFonts w:hint="eastAsia"/>
                <w:b/>
              </w:rPr>
              <w:t>【教师】讲解应税销售额的特殊规定</w:t>
            </w:r>
          </w:p>
          <w:p w14:paraId="0DA7683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（1）包装物收入的处理规定具体如表2-3所示。</w:t>
            </w:r>
          </w:p>
          <w:p w14:paraId="5EB38736">
            <w:pPr>
              <w:shd w:val="clear" w:color="auto" w:fill="FDF3ED"/>
              <w:ind w:firstLine="360" w:firstLineChars="200"/>
              <w:jc w:val="center"/>
              <w:rPr>
                <w:rFonts w:ascii="Times New Roman" w:hAnsi="Times New Roman" w:eastAsia="微软雅黑"/>
                <w:sz w:val="18"/>
              </w:rPr>
            </w:pPr>
            <w:r>
              <w:rPr>
                <w:rFonts w:hint="eastAsia" w:ascii="Times New Roman" w:hAnsi="Times New Roman" w:eastAsia="微软雅黑"/>
                <w:sz w:val="18"/>
              </w:rPr>
              <w:t>表2-3  包装物收入的处理规定</w:t>
            </w:r>
          </w:p>
          <w:tbl>
            <w:tblPr>
              <w:tblStyle w:val="2"/>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7"/>
              <w:gridCol w:w="4333"/>
            </w:tblGrid>
            <w:tr w14:paraId="2A77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17" w:type="dxa"/>
                  <w:shd w:val="clear" w:color="auto" w:fill="DAE3F4" w:themeFill="accent1" w:themeFillTint="33"/>
                  <w:vAlign w:val="center"/>
                </w:tcPr>
                <w:p w14:paraId="5EB856E3">
                  <w:pPr>
                    <w:spacing w:before="40" w:after="40"/>
                    <w:jc w:val="center"/>
                    <w:rPr>
                      <w:rFonts w:ascii="Times New Roman" w:hAnsi="Times New Roman" w:eastAsia="微软雅黑"/>
                      <w:sz w:val="18"/>
                    </w:rPr>
                  </w:pPr>
                  <w:r>
                    <w:rPr>
                      <w:rFonts w:ascii="Times New Roman" w:hAnsi="Times New Roman" w:eastAsia="微软雅黑"/>
                      <w:sz w:val="18"/>
                    </w:rPr>
                    <w:t>情形</w:t>
                  </w:r>
                </w:p>
              </w:tc>
              <w:tc>
                <w:tcPr>
                  <w:tcW w:w="4333" w:type="dxa"/>
                  <w:shd w:val="clear" w:color="auto" w:fill="DAE3F4" w:themeFill="accent1" w:themeFillTint="33"/>
                  <w:vAlign w:val="center"/>
                </w:tcPr>
                <w:p w14:paraId="50C1E30D">
                  <w:pPr>
                    <w:spacing w:before="40" w:after="40"/>
                    <w:jc w:val="center"/>
                    <w:rPr>
                      <w:rFonts w:ascii="Times New Roman" w:hAnsi="Times New Roman" w:eastAsia="微软雅黑"/>
                      <w:sz w:val="18"/>
                    </w:rPr>
                  </w:pPr>
                  <w:r>
                    <w:rPr>
                      <w:rFonts w:ascii="Times New Roman" w:hAnsi="Times New Roman" w:eastAsia="微软雅黑"/>
                      <w:sz w:val="18"/>
                    </w:rPr>
                    <w:t>规定</w:t>
                  </w:r>
                </w:p>
              </w:tc>
            </w:tr>
            <w:tr w14:paraId="1495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7" w:type="dxa"/>
                  <w:shd w:val="clear" w:color="auto" w:fill="auto"/>
                  <w:vAlign w:val="center"/>
                </w:tcPr>
                <w:p w14:paraId="7B180D56">
                  <w:pPr>
                    <w:spacing w:before="40" w:after="40"/>
                    <w:ind w:firstLine="180" w:firstLineChars="100"/>
                    <w:jc w:val="left"/>
                    <w:rPr>
                      <w:rFonts w:ascii="Times New Roman" w:hAnsi="Times New Roman" w:eastAsia="微软雅黑"/>
                      <w:sz w:val="18"/>
                    </w:rPr>
                  </w:pPr>
                  <w:r>
                    <w:rPr>
                      <w:rFonts w:ascii="Times New Roman" w:hAnsi="Times New Roman" w:eastAsia="微软雅黑"/>
                      <w:sz w:val="18"/>
                    </w:rPr>
                    <w:t>包装物随同应税消费品销售的</w:t>
                  </w:r>
                </w:p>
              </w:tc>
              <w:tc>
                <w:tcPr>
                  <w:tcW w:w="4333" w:type="dxa"/>
                  <w:shd w:val="clear" w:color="auto" w:fill="auto"/>
                  <w:vAlign w:val="center"/>
                </w:tcPr>
                <w:p w14:paraId="3AAAB450">
                  <w:pPr>
                    <w:spacing w:before="40" w:after="40"/>
                    <w:ind w:firstLine="180" w:firstLineChars="100"/>
                    <w:rPr>
                      <w:rFonts w:ascii="Times New Roman" w:hAnsi="Times New Roman" w:eastAsia="微软雅黑"/>
                      <w:sz w:val="18"/>
                    </w:rPr>
                  </w:pPr>
                  <w:r>
                    <w:rPr>
                      <w:rFonts w:ascii="Times New Roman" w:hAnsi="Times New Roman" w:eastAsia="微软雅黑"/>
                      <w:sz w:val="18"/>
                    </w:rPr>
                    <w:t>不论包装物是否单独计价，也不论在会计上如何核算，包装物收入均并入应税销售额</w:t>
                  </w:r>
                </w:p>
              </w:tc>
            </w:tr>
            <w:tr w14:paraId="1E58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7" w:type="dxa"/>
                  <w:shd w:val="clear" w:color="auto" w:fill="auto"/>
                  <w:vAlign w:val="center"/>
                </w:tcPr>
                <w:p w14:paraId="721B5176">
                  <w:pPr>
                    <w:spacing w:before="40" w:after="40"/>
                    <w:ind w:firstLine="180" w:firstLineChars="100"/>
                    <w:jc w:val="left"/>
                    <w:rPr>
                      <w:rFonts w:ascii="Times New Roman" w:hAnsi="Times New Roman" w:eastAsia="微软雅黑"/>
                      <w:sz w:val="18"/>
                    </w:rPr>
                  </w:pPr>
                  <w:r>
                    <w:rPr>
                      <w:rFonts w:ascii="Times New Roman" w:hAnsi="Times New Roman" w:eastAsia="微软雅黑"/>
                      <w:sz w:val="18"/>
                    </w:rPr>
                    <w:t>包装物不作价随同产品销售，而是收取押金</w:t>
                  </w:r>
                </w:p>
              </w:tc>
              <w:tc>
                <w:tcPr>
                  <w:tcW w:w="4333" w:type="dxa"/>
                  <w:shd w:val="clear" w:color="auto" w:fill="auto"/>
                  <w:vAlign w:val="center"/>
                </w:tcPr>
                <w:p w14:paraId="63614F2A">
                  <w:pPr>
                    <w:spacing w:before="40" w:after="40"/>
                    <w:ind w:firstLine="180" w:firstLineChars="100"/>
                    <w:rPr>
                      <w:rFonts w:ascii="Times New Roman" w:hAnsi="Times New Roman" w:eastAsia="微软雅黑"/>
                      <w:sz w:val="18"/>
                    </w:rPr>
                  </w:pPr>
                  <w:r>
                    <w:rPr>
                      <w:rFonts w:ascii="Times New Roman" w:hAnsi="Times New Roman" w:eastAsia="微软雅黑"/>
                      <w:sz w:val="18"/>
                    </w:rPr>
                    <w:t>此项押金不并入应税销售额。但因逾期未收回的包装物不再退还的或已收取的时间超过12个月的押金，应并入应税销售额</w:t>
                  </w:r>
                </w:p>
              </w:tc>
            </w:tr>
            <w:tr w14:paraId="06B8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17" w:type="dxa"/>
                  <w:shd w:val="clear" w:color="auto" w:fill="auto"/>
                  <w:vAlign w:val="center"/>
                </w:tcPr>
                <w:p w14:paraId="291BAC98">
                  <w:pPr>
                    <w:spacing w:before="40" w:after="40"/>
                    <w:ind w:firstLine="180" w:firstLineChars="100"/>
                    <w:jc w:val="left"/>
                    <w:rPr>
                      <w:rFonts w:ascii="Times New Roman" w:hAnsi="Times New Roman" w:eastAsia="微软雅黑"/>
                      <w:sz w:val="18"/>
                    </w:rPr>
                  </w:pPr>
                  <w:r>
                    <w:rPr>
                      <w:rFonts w:ascii="Times New Roman" w:hAnsi="Times New Roman" w:eastAsia="微软雅黑"/>
                      <w:sz w:val="18"/>
                    </w:rPr>
                    <w:t>酒类产品生产企业销售除啤酒、黄酒以外的酒类产品而收取的包装物押金</w:t>
                  </w:r>
                </w:p>
              </w:tc>
              <w:tc>
                <w:tcPr>
                  <w:tcW w:w="4333" w:type="dxa"/>
                  <w:shd w:val="clear" w:color="auto" w:fill="auto"/>
                  <w:vAlign w:val="center"/>
                </w:tcPr>
                <w:p w14:paraId="7336098F">
                  <w:pPr>
                    <w:spacing w:before="40" w:after="40"/>
                    <w:ind w:firstLine="180" w:firstLineChars="100"/>
                    <w:rPr>
                      <w:rFonts w:ascii="Times New Roman" w:hAnsi="Times New Roman" w:eastAsia="微软雅黑"/>
                      <w:sz w:val="18"/>
                    </w:rPr>
                  </w:pPr>
                  <w:r>
                    <w:rPr>
                      <w:rFonts w:ascii="Times New Roman" w:hAnsi="Times New Roman" w:eastAsia="微软雅黑"/>
                      <w:sz w:val="18"/>
                    </w:rPr>
                    <w:t>不论押金是否返还及会计上如何核算，押金均应并入应税销售额</w:t>
                  </w:r>
                </w:p>
              </w:tc>
            </w:tr>
          </w:tbl>
          <w:p w14:paraId="604E20A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（2）纳税人兼营不同税率的应税消费品，应当分别核算不同税率应税消费品的销售额、销售数量。未分别核算销售额、销售数量，或者将不同税率的应税消费品组成成套消费品销售的，从高适用税率。</w:t>
            </w:r>
          </w:p>
          <w:p w14:paraId="527AC43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（3）纳税人通过自设的非独立核算门市部销售的自产消费品，应按照门市部对外销售额或者销售数量缴纳消费税。</w:t>
            </w:r>
          </w:p>
          <w:p w14:paraId="5A997AA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（4）用于换取生产资料和消费资料、投资入股和抵偿债务等方面的应税消费品，应当以纳税人同类应税消费品的最高销售价格作为计算消费税的依据。</w:t>
            </w:r>
          </w:p>
          <w:p w14:paraId="3F3C774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5）纳税人销售的应税消费品，以人民币以外的货币结算销售额的，其销售额的人民币折合率可以选择销售额发生的当天或者当月1日的人民币汇率中间价。纳税人应在事先确定采用何种折合率，确定后1年内不得变更。</w:t>
            </w:r>
          </w:p>
          <w:p w14:paraId="73A5D7C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（6）纳税人采用以旧换新（含翻新改制）方式销售的金银首饰，应将实际收取的不含增值税的全部价款作为销售额。</w:t>
            </w:r>
          </w:p>
          <w:p w14:paraId="6878280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B8B7FBB">
            <w:pPr>
              <w:pStyle w:val="4"/>
              <w:ind w:firstLine="360" w:firstLineChars="200"/>
              <w:rPr>
                <w:lang w:bidi="ar"/>
              </w:rPr>
            </w:pPr>
            <w:r>
              <w:rPr>
                <w:rFonts w:hint="eastAsia"/>
                <w:lang w:bidi="ar"/>
              </w:rPr>
              <w:t>2．从量定额计算</w:t>
            </w:r>
          </w:p>
          <w:p w14:paraId="5B78D3DF">
            <w:pPr>
              <w:pStyle w:val="4"/>
              <w:ind w:firstLine="360" w:firstLineChars="200"/>
              <w:rPr>
                <w:lang w:bidi="ar"/>
              </w:rPr>
            </w:pPr>
            <w:r>
              <w:rPr>
                <w:rFonts w:hint="eastAsia"/>
                <w:lang w:bidi="ar"/>
              </w:rPr>
              <w:t>实行从量定额方法计税的，应纳税额的计算公式如下：</w:t>
            </w:r>
          </w:p>
          <w:p w14:paraId="55473DCA">
            <w:pPr>
              <w:pStyle w:val="4"/>
              <w:ind w:firstLine="360" w:firstLineChars="200"/>
              <w:jc w:val="center"/>
              <w:rPr>
                <w:lang w:bidi="ar"/>
              </w:rPr>
            </w:pPr>
            <w:r>
              <w:rPr>
                <w:rFonts w:hint="eastAsia"/>
                <w:lang w:bidi="ar"/>
              </w:rPr>
              <w:t>应纳税额=应税销售数量×定额税率</w:t>
            </w:r>
          </w:p>
          <w:p w14:paraId="356205D3">
            <w:pPr>
              <w:pStyle w:val="4"/>
              <w:ind w:firstLine="360" w:firstLineChars="200"/>
              <w:rPr>
                <w:lang w:bidi="ar"/>
              </w:rPr>
            </w:pPr>
            <w:r>
              <w:rPr>
                <w:rFonts w:hint="eastAsia"/>
                <w:lang w:bidi="ar"/>
              </w:rPr>
              <w:t>其中，应税销售数量是指纳税人生产、加工和进口应税消费品的数量。关于应税销售数量的具体规定如下。</w:t>
            </w:r>
          </w:p>
          <w:p w14:paraId="3B6C076E">
            <w:pPr>
              <w:pStyle w:val="4"/>
              <w:ind w:firstLine="360" w:firstLineChars="200"/>
              <w:rPr>
                <w:lang w:bidi="ar"/>
              </w:rPr>
            </w:pPr>
            <w:r>
              <w:rPr>
                <w:rFonts w:hint="eastAsia"/>
                <w:lang w:bidi="ar"/>
              </w:rPr>
              <w:t>① 纳税人销售应税消费品的，应税销售数量为应税消费品的销售数量。</w:t>
            </w:r>
          </w:p>
          <w:p w14:paraId="5751C619">
            <w:pPr>
              <w:pStyle w:val="4"/>
              <w:ind w:firstLine="360" w:firstLineChars="200"/>
              <w:rPr>
                <w:lang w:bidi="ar"/>
              </w:rPr>
            </w:pPr>
            <w:r>
              <w:rPr>
                <w:rFonts w:hint="eastAsia"/>
                <w:lang w:bidi="ar"/>
              </w:rPr>
              <w:t>② 纳税人自产自用应税消费品的，应税销售数量为应税消费品的移送使用数量。</w:t>
            </w:r>
          </w:p>
          <w:p w14:paraId="23E2561B">
            <w:pPr>
              <w:pStyle w:val="4"/>
              <w:ind w:firstLine="360" w:firstLineChars="200"/>
              <w:rPr>
                <w:lang w:bidi="ar"/>
              </w:rPr>
            </w:pPr>
            <w:r>
              <w:rPr>
                <w:rFonts w:hint="eastAsia"/>
                <w:lang w:bidi="ar"/>
              </w:rPr>
              <w:t>③ 纳税人委托加工应税消费品的，应税销售数量为纳税人收回的应税消费品数量。</w:t>
            </w:r>
          </w:p>
          <w:p w14:paraId="2D602EE1">
            <w:pPr>
              <w:pStyle w:val="4"/>
              <w:ind w:firstLine="360" w:firstLineChars="200"/>
              <w:rPr>
                <w:lang w:bidi="ar"/>
              </w:rPr>
            </w:pPr>
            <w:r>
              <w:rPr>
                <w:rFonts w:hint="eastAsia"/>
                <w:lang w:bidi="ar"/>
              </w:rPr>
              <w:t>④ 纳税人进口应税消费品的，应税销售数量为海关核定的应税消费品进口征税数量。</w:t>
            </w:r>
          </w:p>
          <w:p w14:paraId="2D9394B9">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从量定额方法计税的方法</w:t>
            </w:r>
          </w:p>
          <w:p w14:paraId="2752FE3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【例2-</w:t>
            </w:r>
            <w:r>
              <w:rPr>
                <w:rFonts w:ascii="Times New Roman" w:hAnsi="Times New Roman" w:eastAsia="微软雅黑"/>
                <w:b/>
                <w:sz w:val="18"/>
              </w:rPr>
              <w:t>2</w:t>
            </w:r>
            <w:r>
              <w:rPr>
                <w:rFonts w:hint="eastAsia" w:ascii="Times New Roman" w:hAnsi="Times New Roman" w:eastAsia="微软雅黑"/>
                <w:b/>
                <w:sz w:val="18"/>
              </w:rPr>
              <w:t>】</w:t>
            </w:r>
            <w:r>
              <w:rPr>
                <w:rFonts w:hint="eastAsia" w:ascii="Times New Roman" w:hAnsi="Times New Roman" w:eastAsia="微软雅黑"/>
                <w:sz w:val="18"/>
              </w:rPr>
              <w:t>2023年</w:t>
            </w:r>
            <w:r>
              <w:rPr>
                <w:rFonts w:hint="eastAsia" w:ascii="Times New Roman" w:hAnsi="Times New Roman" w:eastAsia="微软雅黑"/>
                <w:sz w:val="18"/>
                <w:lang w:val="en-US" w:eastAsia="zh-CN"/>
              </w:rPr>
              <w:t>1</w:t>
            </w:r>
            <w:r>
              <w:rPr>
                <w:rFonts w:hint="eastAsia" w:ascii="Times New Roman" w:hAnsi="Times New Roman" w:eastAsia="微软雅黑"/>
                <w:sz w:val="18"/>
              </w:rPr>
              <w:t>月，某啤酒厂销售400吨啤酒，每吨啤酒的出厂价格为2 800元（不含增值税）。请计算该啤酒厂当月应缴纳的消费税税额。</w:t>
            </w:r>
          </w:p>
          <w:p w14:paraId="3D0FBE11">
            <w:pPr>
              <w:pStyle w:val="4"/>
              <w:shd w:val="clear" w:color="auto" w:fill="FDF3ED"/>
              <w:ind w:firstLine="360" w:firstLineChars="200"/>
              <w:rPr>
                <w:b/>
              </w:rPr>
            </w:pPr>
            <w:r>
              <w:rPr>
                <w:b/>
              </w:rPr>
              <w:t>【解析】</w:t>
            </w:r>
          </w:p>
          <w:p w14:paraId="2C24BB3E">
            <w:pPr>
              <w:pStyle w:val="4"/>
              <w:shd w:val="clear" w:color="auto" w:fill="FDF3ED"/>
              <w:ind w:firstLine="360" w:firstLineChars="200"/>
            </w:pPr>
            <w:r>
              <w:rPr>
                <w:rFonts w:hint="eastAsia"/>
              </w:rPr>
              <w:t>啤酒每吨出厂价在3 000元（不含增值税）以下的，适用的消费税税率为定额税率220元/吨。</w:t>
            </w:r>
          </w:p>
          <w:p w14:paraId="084D116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应缴纳的消费税税额=400×220=88 000元</w:t>
            </w:r>
          </w:p>
          <w:p w14:paraId="7254CFA9">
            <w:pPr>
              <w:shd w:val="clear" w:color="auto" w:fill="FDF3ED"/>
              <w:ind w:firstLine="360" w:firstLineChars="200"/>
            </w:pPr>
            <w:r>
              <w:rPr>
                <w:rFonts w:ascii="MS Mincho" w:hAnsi="MS Mincho" w:eastAsia="微软雅黑" w:cs="MS Mincho"/>
                <w:b/>
                <w:sz w:val="18"/>
              </w:rPr>
              <w:t>✈</w:t>
            </w:r>
            <w:r>
              <w:rPr>
                <w:rFonts w:hint="eastAsia" w:ascii="Times New Roman" w:hAnsi="Times New Roman" w:eastAsia="微软雅黑"/>
                <w:b/>
                <w:sz w:val="18"/>
              </w:rPr>
              <w:t>【学生】聆听、</w:t>
            </w:r>
            <w:r>
              <w:rPr>
                <w:rFonts w:ascii="Times New Roman" w:hAnsi="Times New Roman" w:eastAsia="微软雅黑"/>
                <w:b/>
                <w:sz w:val="18"/>
              </w:rPr>
              <w:t>思考、理解、掌握</w:t>
            </w:r>
          </w:p>
          <w:p w14:paraId="709CD4C9">
            <w:pPr>
              <w:pStyle w:val="4"/>
              <w:shd w:val="clear" w:color="auto" w:fill="FDF3ED"/>
              <w:ind w:firstLine="360" w:firstLineChars="200"/>
              <w:rPr>
                <w:rFonts w:ascii="MS Mincho" w:hAnsi="MS Mincho" w:cs="MS Mincho"/>
                <w:b/>
              </w:rPr>
            </w:pPr>
            <w:r>
              <w:rPr>
                <w:rFonts w:hint="eastAsia"/>
                <w:b/>
              </w:rPr>
              <w:t>【知识拓展】</w:t>
            </w:r>
          </w:p>
          <w:p w14:paraId="34116CCD">
            <w:pPr>
              <w:pStyle w:val="4"/>
              <w:shd w:val="clear" w:color="auto" w:fill="FDF3ED"/>
              <w:ind w:firstLine="360" w:firstLineChars="200"/>
              <w:rPr>
                <w:b/>
              </w:rPr>
            </w:pPr>
            <w:r>
              <w:rPr>
                <w:rFonts w:ascii="MS Mincho" w:hAnsi="MS Mincho" w:cs="MS Mincho"/>
                <w:b/>
              </w:rPr>
              <w:t>✈</w:t>
            </w:r>
            <w:r>
              <w:rPr>
                <w:rFonts w:hint="eastAsia"/>
                <w:b/>
              </w:rPr>
              <w:t>【教师】讲解计量单位的换算</w:t>
            </w:r>
          </w:p>
          <w:p w14:paraId="7DC2B3C3">
            <w:pPr>
              <w:pStyle w:val="4"/>
              <w:shd w:val="clear" w:color="auto" w:fill="FDF3ED"/>
              <w:ind w:firstLine="360" w:firstLineChars="200"/>
            </w:pPr>
            <w:r>
              <w:rPr>
                <w:rFonts w:hint="eastAsia"/>
              </w:rPr>
              <w:t>《消费税暂行条例》规定，黄酒、啤酒以吨为税额单位，成品油以升为税额单位。为了规范不同产品的计量单位，准确计算应纳税额，各应税消费品计量单位的换算如表2-4所示。</w:t>
            </w:r>
          </w:p>
          <w:p w14:paraId="376D2938">
            <w:pPr>
              <w:pStyle w:val="4"/>
              <w:shd w:val="clear" w:color="auto" w:fill="FDF3ED"/>
              <w:ind w:firstLine="360" w:firstLineChars="200"/>
              <w:jc w:val="center"/>
            </w:pPr>
            <w:r>
              <w:rPr>
                <w:rFonts w:hint="eastAsia"/>
              </w:rPr>
              <w:t>表2-4  应税消费品计量单位的换算</w:t>
            </w:r>
          </w:p>
          <w:tbl>
            <w:tblPr>
              <w:tblStyle w:val="2"/>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3118"/>
            </w:tblGrid>
            <w:tr w14:paraId="41DB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DAE3F4" w:themeFill="accent1" w:themeFillTint="33"/>
                  <w:vAlign w:val="center"/>
                </w:tcPr>
                <w:p w14:paraId="590B6491">
                  <w:pPr>
                    <w:pStyle w:val="4"/>
                    <w:jc w:val="center"/>
                  </w:pPr>
                  <w:r>
                    <w:t>编号</w:t>
                  </w:r>
                </w:p>
              </w:tc>
              <w:tc>
                <w:tcPr>
                  <w:tcW w:w="2694" w:type="dxa"/>
                  <w:shd w:val="clear" w:color="auto" w:fill="DAE3F4" w:themeFill="accent1" w:themeFillTint="33"/>
                  <w:vAlign w:val="center"/>
                </w:tcPr>
                <w:p w14:paraId="495F9419">
                  <w:pPr>
                    <w:pStyle w:val="4"/>
                    <w:jc w:val="center"/>
                  </w:pPr>
                  <w:r>
                    <w:t>应税消费品</w:t>
                  </w:r>
                </w:p>
              </w:tc>
              <w:tc>
                <w:tcPr>
                  <w:tcW w:w="3118" w:type="dxa"/>
                  <w:shd w:val="clear" w:color="auto" w:fill="DAE3F4" w:themeFill="accent1" w:themeFillTint="33"/>
                  <w:vAlign w:val="center"/>
                </w:tcPr>
                <w:p w14:paraId="05B15439">
                  <w:pPr>
                    <w:pStyle w:val="4"/>
                    <w:jc w:val="center"/>
                  </w:pPr>
                  <w:r>
                    <w:t>换算标准</w:t>
                  </w:r>
                </w:p>
              </w:tc>
            </w:tr>
            <w:tr w14:paraId="056D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116AC674">
                  <w:pPr>
                    <w:pStyle w:val="4"/>
                    <w:jc w:val="center"/>
                  </w:pPr>
                  <w:r>
                    <w:t>1</w:t>
                  </w:r>
                </w:p>
              </w:tc>
              <w:tc>
                <w:tcPr>
                  <w:tcW w:w="2694" w:type="dxa"/>
                  <w:shd w:val="clear" w:color="auto" w:fill="auto"/>
                  <w:vAlign w:val="center"/>
                </w:tcPr>
                <w:p w14:paraId="6A4E5F97">
                  <w:pPr>
                    <w:pStyle w:val="4"/>
                    <w:jc w:val="center"/>
                  </w:pPr>
                  <w:r>
                    <w:t>黄酒</w:t>
                  </w:r>
                </w:p>
              </w:tc>
              <w:tc>
                <w:tcPr>
                  <w:tcW w:w="3118" w:type="dxa"/>
                  <w:shd w:val="clear" w:color="auto" w:fill="auto"/>
                  <w:vAlign w:val="center"/>
                </w:tcPr>
                <w:p w14:paraId="3ADA5FD6">
                  <w:pPr>
                    <w:pStyle w:val="4"/>
                    <w:jc w:val="center"/>
                  </w:pPr>
                  <w:r>
                    <w:t>1吨=962升</w:t>
                  </w:r>
                </w:p>
              </w:tc>
            </w:tr>
            <w:tr w14:paraId="777E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18E3FCC6">
                  <w:pPr>
                    <w:pStyle w:val="4"/>
                    <w:jc w:val="center"/>
                  </w:pPr>
                  <w:r>
                    <w:t>2</w:t>
                  </w:r>
                </w:p>
              </w:tc>
              <w:tc>
                <w:tcPr>
                  <w:tcW w:w="2694" w:type="dxa"/>
                  <w:shd w:val="clear" w:color="auto" w:fill="auto"/>
                  <w:vAlign w:val="center"/>
                </w:tcPr>
                <w:p w14:paraId="108A9B93">
                  <w:pPr>
                    <w:pStyle w:val="4"/>
                    <w:jc w:val="center"/>
                  </w:pPr>
                  <w:r>
                    <w:t>啤酒</w:t>
                  </w:r>
                </w:p>
              </w:tc>
              <w:tc>
                <w:tcPr>
                  <w:tcW w:w="3118" w:type="dxa"/>
                  <w:shd w:val="clear" w:color="auto" w:fill="auto"/>
                </w:tcPr>
                <w:p w14:paraId="5ADD99F9">
                  <w:pPr>
                    <w:pStyle w:val="4"/>
                    <w:jc w:val="center"/>
                  </w:pPr>
                  <w:r>
                    <w:t>1吨=988升</w:t>
                  </w:r>
                </w:p>
              </w:tc>
            </w:tr>
            <w:tr w14:paraId="32F2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509194CC">
                  <w:pPr>
                    <w:pStyle w:val="4"/>
                    <w:jc w:val="center"/>
                  </w:pPr>
                  <w:r>
                    <w:t>3</w:t>
                  </w:r>
                </w:p>
              </w:tc>
              <w:tc>
                <w:tcPr>
                  <w:tcW w:w="2694" w:type="dxa"/>
                  <w:shd w:val="clear" w:color="auto" w:fill="auto"/>
                  <w:vAlign w:val="center"/>
                </w:tcPr>
                <w:p w14:paraId="7E6AF454">
                  <w:pPr>
                    <w:pStyle w:val="4"/>
                    <w:jc w:val="center"/>
                  </w:pPr>
                  <w:r>
                    <w:t>汽油</w:t>
                  </w:r>
                </w:p>
              </w:tc>
              <w:tc>
                <w:tcPr>
                  <w:tcW w:w="3118" w:type="dxa"/>
                  <w:shd w:val="clear" w:color="auto" w:fill="auto"/>
                </w:tcPr>
                <w:p w14:paraId="03663E60">
                  <w:pPr>
                    <w:pStyle w:val="4"/>
                    <w:jc w:val="center"/>
                  </w:pPr>
                  <w:r>
                    <w:t>1吨=1 388升</w:t>
                  </w:r>
                </w:p>
              </w:tc>
            </w:tr>
            <w:tr w14:paraId="6F80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422FD7F9">
                  <w:pPr>
                    <w:pStyle w:val="4"/>
                    <w:jc w:val="center"/>
                  </w:pPr>
                  <w:r>
                    <w:t>4</w:t>
                  </w:r>
                </w:p>
              </w:tc>
              <w:tc>
                <w:tcPr>
                  <w:tcW w:w="2694" w:type="dxa"/>
                  <w:shd w:val="clear" w:color="auto" w:fill="auto"/>
                  <w:vAlign w:val="center"/>
                </w:tcPr>
                <w:p w14:paraId="048EB13E">
                  <w:pPr>
                    <w:pStyle w:val="4"/>
                    <w:jc w:val="center"/>
                  </w:pPr>
                  <w:r>
                    <w:t>柴油</w:t>
                  </w:r>
                </w:p>
              </w:tc>
              <w:tc>
                <w:tcPr>
                  <w:tcW w:w="3118" w:type="dxa"/>
                  <w:shd w:val="clear" w:color="auto" w:fill="auto"/>
                </w:tcPr>
                <w:p w14:paraId="1F0737CC">
                  <w:pPr>
                    <w:pStyle w:val="4"/>
                    <w:jc w:val="center"/>
                  </w:pPr>
                  <w:r>
                    <w:t>1吨=1 176升</w:t>
                  </w:r>
                </w:p>
              </w:tc>
            </w:tr>
            <w:tr w14:paraId="02A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27A0DC58">
                  <w:pPr>
                    <w:pStyle w:val="4"/>
                    <w:jc w:val="center"/>
                  </w:pPr>
                  <w:r>
                    <w:t>5</w:t>
                  </w:r>
                </w:p>
              </w:tc>
              <w:tc>
                <w:tcPr>
                  <w:tcW w:w="2694" w:type="dxa"/>
                  <w:shd w:val="clear" w:color="auto" w:fill="auto"/>
                  <w:vAlign w:val="center"/>
                </w:tcPr>
                <w:p w14:paraId="71127C7F">
                  <w:pPr>
                    <w:pStyle w:val="4"/>
                    <w:jc w:val="center"/>
                  </w:pPr>
                  <w:r>
                    <w:t>航空煤油</w:t>
                  </w:r>
                </w:p>
              </w:tc>
              <w:tc>
                <w:tcPr>
                  <w:tcW w:w="3118" w:type="dxa"/>
                  <w:shd w:val="clear" w:color="auto" w:fill="auto"/>
                </w:tcPr>
                <w:p w14:paraId="5DEABE02">
                  <w:pPr>
                    <w:pStyle w:val="4"/>
                    <w:jc w:val="center"/>
                  </w:pPr>
                  <w:r>
                    <w:t>1吨=1 246升</w:t>
                  </w:r>
                </w:p>
              </w:tc>
            </w:tr>
            <w:tr w14:paraId="3B8D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3FF4C720">
                  <w:pPr>
                    <w:pStyle w:val="4"/>
                    <w:jc w:val="center"/>
                  </w:pPr>
                  <w:r>
                    <w:t>6</w:t>
                  </w:r>
                </w:p>
              </w:tc>
              <w:tc>
                <w:tcPr>
                  <w:tcW w:w="2694" w:type="dxa"/>
                  <w:shd w:val="clear" w:color="auto" w:fill="auto"/>
                  <w:vAlign w:val="center"/>
                </w:tcPr>
                <w:p w14:paraId="4E9818FE">
                  <w:pPr>
                    <w:pStyle w:val="4"/>
                    <w:jc w:val="center"/>
                  </w:pPr>
                  <w:r>
                    <w:t>石脑油</w:t>
                  </w:r>
                </w:p>
              </w:tc>
              <w:tc>
                <w:tcPr>
                  <w:tcW w:w="3118" w:type="dxa"/>
                  <w:shd w:val="clear" w:color="auto" w:fill="auto"/>
                </w:tcPr>
                <w:p w14:paraId="3C0DBA0A">
                  <w:pPr>
                    <w:pStyle w:val="4"/>
                    <w:jc w:val="center"/>
                  </w:pPr>
                  <w:r>
                    <w:t>1吨=1 385升</w:t>
                  </w:r>
                </w:p>
              </w:tc>
            </w:tr>
            <w:tr w14:paraId="6D64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57DCCE4D">
                  <w:pPr>
                    <w:pStyle w:val="4"/>
                    <w:jc w:val="center"/>
                  </w:pPr>
                  <w:r>
                    <w:t>7</w:t>
                  </w:r>
                </w:p>
              </w:tc>
              <w:tc>
                <w:tcPr>
                  <w:tcW w:w="2694" w:type="dxa"/>
                  <w:shd w:val="clear" w:color="auto" w:fill="auto"/>
                  <w:vAlign w:val="center"/>
                </w:tcPr>
                <w:p w14:paraId="266D1B85">
                  <w:pPr>
                    <w:pStyle w:val="4"/>
                    <w:jc w:val="center"/>
                  </w:pPr>
                  <w:r>
                    <w:t>溶剂油</w:t>
                  </w:r>
                </w:p>
              </w:tc>
              <w:tc>
                <w:tcPr>
                  <w:tcW w:w="3118" w:type="dxa"/>
                  <w:shd w:val="clear" w:color="auto" w:fill="auto"/>
                </w:tcPr>
                <w:p w14:paraId="55DE6532">
                  <w:pPr>
                    <w:pStyle w:val="4"/>
                    <w:jc w:val="center"/>
                  </w:pPr>
                  <w:r>
                    <w:t>1吨=1 282升</w:t>
                  </w:r>
                </w:p>
              </w:tc>
            </w:tr>
            <w:tr w14:paraId="68E6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6CF7C6EB">
                  <w:pPr>
                    <w:pStyle w:val="4"/>
                    <w:jc w:val="center"/>
                  </w:pPr>
                  <w:r>
                    <w:t>8</w:t>
                  </w:r>
                </w:p>
              </w:tc>
              <w:tc>
                <w:tcPr>
                  <w:tcW w:w="2694" w:type="dxa"/>
                  <w:shd w:val="clear" w:color="auto" w:fill="auto"/>
                  <w:vAlign w:val="center"/>
                </w:tcPr>
                <w:p w14:paraId="16444694">
                  <w:pPr>
                    <w:pStyle w:val="4"/>
                    <w:jc w:val="center"/>
                  </w:pPr>
                  <w:r>
                    <w:t>润滑油</w:t>
                  </w:r>
                </w:p>
              </w:tc>
              <w:tc>
                <w:tcPr>
                  <w:tcW w:w="3118" w:type="dxa"/>
                  <w:shd w:val="clear" w:color="auto" w:fill="auto"/>
                </w:tcPr>
                <w:p w14:paraId="28828545">
                  <w:pPr>
                    <w:pStyle w:val="4"/>
                    <w:jc w:val="center"/>
                  </w:pPr>
                  <w:r>
                    <w:t>1吨=1 126升</w:t>
                  </w:r>
                </w:p>
              </w:tc>
            </w:tr>
            <w:tr w14:paraId="7BBB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shd w:val="clear" w:color="auto" w:fill="auto"/>
                  <w:vAlign w:val="center"/>
                </w:tcPr>
                <w:p w14:paraId="27B87132">
                  <w:pPr>
                    <w:pStyle w:val="4"/>
                    <w:jc w:val="center"/>
                  </w:pPr>
                  <w:r>
                    <w:t>9</w:t>
                  </w:r>
                </w:p>
              </w:tc>
              <w:tc>
                <w:tcPr>
                  <w:tcW w:w="2694" w:type="dxa"/>
                  <w:shd w:val="clear" w:color="auto" w:fill="auto"/>
                  <w:vAlign w:val="center"/>
                </w:tcPr>
                <w:p w14:paraId="40779A13">
                  <w:pPr>
                    <w:pStyle w:val="4"/>
                    <w:jc w:val="center"/>
                  </w:pPr>
                  <w:r>
                    <w:t>燃料油</w:t>
                  </w:r>
                </w:p>
              </w:tc>
              <w:tc>
                <w:tcPr>
                  <w:tcW w:w="3118" w:type="dxa"/>
                  <w:shd w:val="clear" w:color="auto" w:fill="auto"/>
                </w:tcPr>
                <w:p w14:paraId="74652595">
                  <w:pPr>
                    <w:pStyle w:val="4"/>
                    <w:jc w:val="center"/>
                  </w:pPr>
                  <w:r>
                    <w:t>1吨=1 015升</w:t>
                  </w:r>
                </w:p>
              </w:tc>
            </w:tr>
          </w:tbl>
          <w:p w14:paraId="2453A22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0073806">
            <w:pPr>
              <w:pStyle w:val="4"/>
              <w:ind w:firstLine="360" w:firstLineChars="200"/>
              <w:rPr>
                <w:lang w:bidi="ar"/>
              </w:rPr>
            </w:pPr>
            <w:r>
              <w:rPr>
                <w:rFonts w:hint="eastAsia"/>
                <w:lang w:bidi="ar"/>
              </w:rPr>
              <w:t>3．从价定率和从量定额复合计算</w:t>
            </w:r>
          </w:p>
          <w:p w14:paraId="7C6E1521">
            <w:pPr>
              <w:pStyle w:val="4"/>
              <w:ind w:firstLine="360" w:firstLineChars="200"/>
              <w:rPr>
                <w:lang w:bidi="ar"/>
              </w:rPr>
            </w:pPr>
            <w:r>
              <w:rPr>
                <w:rFonts w:hint="eastAsia"/>
                <w:lang w:bidi="ar"/>
              </w:rPr>
              <w:t>现行消费税的征收范围中，只有卷烟、白酒采用复合计税方法。应纳税额的计算公式如下：</w:t>
            </w:r>
          </w:p>
          <w:p w14:paraId="64328177">
            <w:pPr>
              <w:pStyle w:val="4"/>
              <w:ind w:firstLine="360" w:firstLineChars="200"/>
              <w:jc w:val="center"/>
              <w:rPr>
                <w:lang w:bidi="ar"/>
              </w:rPr>
            </w:pPr>
            <w:r>
              <w:rPr>
                <w:rFonts w:hint="eastAsia"/>
                <w:lang w:bidi="ar"/>
              </w:rPr>
              <w:t>应纳税额=应税销售额×比例税率+应税销售数量×定额税率</w:t>
            </w:r>
          </w:p>
          <w:p w14:paraId="248DC14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从量定额复合计税的方法</w:t>
            </w:r>
          </w:p>
          <w:p w14:paraId="0264D8B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b/>
                <w:sz w:val="18"/>
                <w:lang w:val="en-US" w:eastAsia="zh-CN"/>
              </w:rPr>
              <w:t>1</w:t>
            </w:r>
            <w:r>
              <w:rPr>
                <w:rFonts w:hint="eastAsia" w:ascii="Times New Roman" w:hAnsi="Times New Roman" w:eastAsia="微软雅黑"/>
                <w:b/>
                <w:sz w:val="18"/>
              </w:rPr>
              <w:t>】</w:t>
            </w:r>
            <w:r>
              <w:rPr>
                <w:rFonts w:hint="eastAsia" w:ascii="Times New Roman" w:hAnsi="Times New Roman" w:eastAsia="微软雅黑"/>
                <w:sz w:val="18"/>
              </w:rPr>
              <w:t>某白酒生产企业为一般纳税人。2023年</w:t>
            </w:r>
            <w:r>
              <w:rPr>
                <w:rFonts w:hint="eastAsia" w:ascii="Times New Roman" w:hAnsi="Times New Roman" w:eastAsia="微软雅黑"/>
                <w:sz w:val="18"/>
                <w:lang w:val="en-US" w:eastAsia="zh-CN"/>
              </w:rPr>
              <w:t>1</w:t>
            </w:r>
            <w:r>
              <w:rPr>
                <w:rFonts w:hint="eastAsia" w:ascii="Times New Roman" w:hAnsi="Times New Roman" w:eastAsia="微软雅黑"/>
                <w:sz w:val="18"/>
              </w:rPr>
              <w:t>月，该企业销售50吨白酒，取得不含增值税销售额150万元，同时收取包装物押金4.52万元。请计算该企业当月应缴纳的消费税税额。</w:t>
            </w:r>
          </w:p>
          <w:p w14:paraId="04F11C80">
            <w:pPr>
              <w:pStyle w:val="4"/>
              <w:shd w:val="clear" w:color="auto" w:fill="FDF3ED"/>
              <w:ind w:firstLine="360" w:firstLineChars="200"/>
              <w:rPr>
                <w:b/>
              </w:rPr>
            </w:pPr>
            <w:r>
              <w:rPr>
                <w:rFonts w:hint="eastAsia"/>
                <w:b/>
              </w:rPr>
              <w:t>【解析】</w:t>
            </w:r>
          </w:p>
          <w:p w14:paraId="1FB1D026">
            <w:pPr>
              <w:pStyle w:val="4"/>
              <w:shd w:val="clear" w:color="auto" w:fill="FDF3ED"/>
              <w:ind w:firstLine="360" w:firstLineChars="200"/>
            </w:pPr>
            <w:r>
              <w:rPr>
                <w:rFonts w:hint="eastAsia"/>
              </w:rPr>
              <w:t>白酒是复合计征消费税的，适用的消费税税率为比例税率 20%，定额税率每 500 克0.5元。此外，企业收取的包装物押金也应征收消费税。</w:t>
            </w:r>
          </w:p>
          <w:p w14:paraId="1B81758B">
            <w:pPr>
              <w:pStyle w:val="4"/>
              <w:shd w:val="clear" w:color="auto" w:fill="FDF3ED"/>
              <w:ind w:firstLine="360" w:firstLineChars="200"/>
            </w:pPr>
          </w:p>
          <w:p w14:paraId="147E424F">
            <w:pPr>
              <w:pStyle w:val="4"/>
              <w:shd w:val="clear" w:color="auto" w:fill="FDF3ED"/>
              <w:ind w:firstLine="360" w:firstLineChars="200"/>
            </w:pPr>
            <w:r>
              <w:rPr>
                <w:rFonts w:hint="eastAsia"/>
              </w:rPr>
              <w:t>应税销售额=150+4.52÷（1+13%）=154万元</w:t>
            </w:r>
          </w:p>
          <w:p w14:paraId="3E749E3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应缴纳的消费税税额=50×2 000×0.5+1 540 000×20%=358 000元</w:t>
            </w:r>
          </w:p>
          <w:p w14:paraId="7449411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7DB60739">
            <w:pPr>
              <w:pStyle w:val="4"/>
              <w:ind w:firstLine="360" w:firstLineChars="200"/>
              <w:rPr>
                <w:b/>
                <w:lang w:bidi="ar"/>
              </w:rPr>
            </w:pPr>
            <w:r>
              <w:rPr>
                <w:rFonts w:hint="eastAsia"/>
                <w:b/>
                <w:lang w:bidi="ar"/>
              </w:rPr>
              <w:t>（二）自产自用应税消费品应纳税额的计算</w:t>
            </w:r>
          </w:p>
          <w:p w14:paraId="78CE92F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【教师】讲解消费税中自产自销应税消费品应纳税额的计算</w:t>
            </w:r>
          </w:p>
          <w:p w14:paraId="5A32FF5E">
            <w:pPr>
              <w:pStyle w:val="4"/>
              <w:ind w:firstLine="360" w:firstLineChars="200"/>
              <w:rPr>
                <w:lang w:bidi="ar"/>
              </w:rPr>
            </w:pPr>
            <w:r>
              <w:rPr>
                <w:rFonts w:hint="eastAsia"/>
                <w:lang w:bidi="ar"/>
              </w:rPr>
              <w:t>1．自产自用应税消费品应缴纳消费税的情形</w:t>
            </w:r>
          </w:p>
          <w:p w14:paraId="461C684C">
            <w:pPr>
              <w:pStyle w:val="4"/>
              <w:ind w:firstLine="360" w:firstLineChars="200"/>
              <w:rPr>
                <w:lang w:bidi="ar"/>
              </w:rPr>
            </w:pPr>
            <w:r>
              <w:rPr>
                <w:rFonts w:hint="eastAsia"/>
                <w:lang w:bidi="ar"/>
              </w:rPr>
              <w:t>所谓自产自用，就是纳税人生产的应税消费品不是用于直接对外销售，而是用于自己连续生产应税消费品或其他方面。</w:t>
            </w:r>
          </w:p>
          <w:p w14:paraId="7761D9D6">
            <w:pPr>
              <w:pStyle w:val="4"/>
              <w:ind w:firstLine="360" w:firstLineChars="200"/>
              <w:rPr>
                <w:lang w:bidi="ar"/>
              </w:rPr>
            </w:pPr>
            <w:r>
              <w:rPr>
                <w:rFonts w:hint="eastAsia"/>
                <w:lang w:bidi="ar"/>
              </w:rPr>
              <w:t>纳税人自产自用的应税消费品，用于连续生产应税消费品的，不缴纳消费税；用于其他方面的，于移送使用时，按视同销售依法缴纳消费税。</w:t>
            </w:r>
          </w:p>
          <w:p w14:paraId="67DD15CB">
            <w:pPr>
              <w:pStyle w:val="4"/>
              <w:ind w:firstLine="360" w:firstLineChars="200"/>
              <w:rPr>
                <w:lang w:bidi="ar"/>
              </w:rPr>
            </w:pPr>
            <w:r>
              <w:rPr>
                <w:rFonts w:hint="eastAsia"/>
                <w:lang w:bidi="ar"/>
              </w:rPr>
              <w:t>用于其他方面是指纳税人将自产自用应税消费品用于生产非应税消费品、在建工程、管理部门、非生产机构、提供劳务、馈赠、赞助、集资、广告、样品、职工福利、奖励等方面。</w:t>
            </w:r>
          </w:p>
          <w:p w14:paraId="47F4082E">
            <w:pPr>
              <w:pStyle w:val="4"/>
              <w:ind w:firstLine="360" w:firstLineChars="200"/>
              <w:rPr>
                <w:lang w:bidi="ar"/>
              </w:rPr>
            </w:pPr>
            <w:r>
              <w:rPr>
                <w:rFonts w:hint="eastAsia"/>
                <w:lang w:bidi="ar"/>
              </w:rPr>
              <w:t>2．自产自用应税消费品计税依据的确定</w:t>
            </w:r>
          </w:p>
          <w:p w14:paraId="0E84420D">
            <w:pPr>
              <w:pStyle w:val="4"/>
              <w:ind w:firstLine="360" w:firstLineChars="200"/>
              <w:rPr>
                <w:lang w:bidi="ar"/>
              </w:rPr>
            </w:pPr>
            <w:r>
              <w:rPr>
                <w:rFonts w:hint="eastAsia"/>
                <w:lang w:bidi="ar"/>
              </w:rPr>
              <w:t>纳税人自产自用应税消费品，凡用于其他方面应当纳税的，其计税依据的确定顺序如下。</w:t>
            </w:r>
          </w:p>
          <w:p w14:paraId="3146F99D">
            <w:pPr>
              <w:pStyle w:val="4"/>
              <w:ind w:firstLine="360" w:firstLineChars="200"/>
              <w:rPr>
                <w:lang w:bidi="ar"/>
              </w:rPr>
            </w:pPr>
            <w:r>
              <w:rPr>
                <w:rFonts w:hint="eastAsia"/>
                <w:lang w:bidi="ar"/>
              </w:rPr>
              <w:t>（1）按当月同类消费品的销售价格计算纳税。</w:t>
            </w:r>
          </w:p>
          <w:p w14:paraId="0DC4D17C">
            <w:pPr>
              <w:pStyle w:val="4"/>
              <w:ind w:firstLine="360" w:firstLineChars="200"/>
              <w:rPr>
                <w:lang w:bidi="ar"/>
              </w:rPr>
            </w:pPr>
            <w:r>
              <w:rPr>
                <w:rFonts w:hint="eastAsia"/>
                <w:lang w:bidi="ar"/>
              </w:rPr>
              <w:t>（2）如果当月同类消费品各期销售价格高低不同，应按加权平均销售价格计算纳税。但销售的应税消费品有下列情况之一的，不得列入加权平均计算：① 销售价格明显偏低又无正当理由的；② 无销售价格的。</w:t>
            </w:r>
          </w:p>
          <w:p w14:paraId="17FED825">
            <w:pPr>
              <w:pStyle w:val="4"/>
              <w:ind w:firstLine="360" w:firstLineChars="200"/>
              <w:rPr>
                <w:lang w:bidi="ar"/>
              </w:rPr>
            </w:pPr>
            <w:r>
              <w:rPr>
                <w:rFonts w:hint="eastAsia"/>
                <w:lang w:bidi="ar"/>
              </w:rPr>
              <w:t>（3）如果当月无销售或者当月未完结，应按照同类消费品上月或最近月份的销售价格计算纳税。</w:t>
            </w:r>
          </w:p>
          <w:p w14:paraId="2FA05322">
            <w:pPr>
              <w:pStyle w:val="4"/>
              <w:ind w:firstLine="360" w:firstLineChars="200"/>
              <w:rPr>
                <w:lang w:bidi="ar"/>
              </w:rPr>
            </w:pPr>
            <w:r>
              <w:rPr>
                <w:rFonts w:hint="eastAsia"/>
                <w:lang w:bidi="ar"/>
              </w:rPr>
              <w:t>（4）没有同类消费品销售价格的，按照组成计税价格计算纳税。</w:t>
            </w:r>
          </w:p>
          <w:p w14:paraId="690EC207">
            <w:pPr>
              <w:pStyle w:val="4"/>
              <w:ind w:firstLine="360" w:firstLineChars="200"/>
              <w:rPr>
                <w:lang w:bidi="ar"/>
              </w:rPr>
            </w:pPr>
            <w:r>
              <w:rPr>
                <w:rFonts w:hint="eastAsia"/>
                <w:lang w:bidi="ar"/>
              </w:rPr>
              <w:t>① 实行从价定率方法计算纳税的，组成计税价格的计算公式如下：</w:t>
            </w:r>
          </w:p>
          <w:p w14:paraId="32F6631B">
            <w:pPr>
              <w:pStyle w:val="4"/>
              <w:ind w:firstLine="360" w:firstLineChars="200"/>
              <w:rPr>
                <w:lang w:bidi="ar"/>
              </w:rPr>
            </w:pPr>
            <w:r>
              <w:rPr>
                <w:rFonts w:hint="eastAsia"/>
                <w:lang w:bidi="ar"/>
              </w:rPr>
              <w:t>组成计税价格</w:t>
            </w:r>
            <w:r>
              <w:rPr>
                <w:lang w:bidi="ar"/>
              </w:rPr>
              <w:t>=</w:t>
            </w:r>
            <w:r>
              <w:rPr>
                <w:rFonts w:hint="eastAsia"/>
                <w:lang w:bidi="ar"/>
              </w:rPr>
              <w:t>（成本</w:t>
            </w:r>
            <w:r>
              <w:rPr>
                <w:lang w:bidi="ar"/>
              </w:rPr>
              <w:t>+</w:t>
            </w:r>
            <w:r>
              <w:rPr>
                <w:rFonts w:hint="eastAsia"/>
                <w:lang w:bidi="ar"/>
              </w:rPr>
              <w:t>利润）÷（</w:t>
            </w:r>
            <w:r>
              <w:rPr>
                <w:lang w:bidi="ar"/>
              </w:rPr>
              <w:t>1−</w:t>
            </w:r>
            <w:r>
              <w:rPr>
                <w:rFonts w:hint="eastAsia"/>
                <w:lang w:bidi="ar"/>
              </w:rPr>
              <w:t>比例税率）</w:t>
            </w:r>
          </w:p>
          <w:p w14:paraId="1FB79DA5">
            <w:pPr>
              <w:pStyle w:val="4"/>
              <w:ind w:firstLine="1440" w:firstLineChars="800"/>
              <w:rPr>
                <w:lang w:bidi="ar"/>
              </w:rPr>
            </w:pPr>
            <w:r>
              <w:rPr>
                <w:lang w:bidi="ar"/>
              </w:rPr>
              <w:t>=</w:t>
            </w:r>
            <w:r>
              <w:rPr>
                <w:rFonts w:hint="eastAsia"/>
                <w:lang w:bidi="ar"/>
              </w:rPr>
              <w:t>成本×（</w:t>
            </w:r>
            <w:r>
              <w:rPr>
                <w:lang w:bidi="ar"/>
              </w:rPr>
              <w:t>1+</w:t>
            </w:r>
            <w:r>
              <w:rPr>
                <w:rFonts w:hint="eastAsia"/>
                <w:lang w:bidi="ar"/>
              </w:rPr>
              <w:t>成本利润率）÷（</w:t>
            </w:r>
            <w:r>
              <w:rPr>
                <w:lang w:bidi="ar"/>
              </w:rPr>
              <w:t>1−</w:t>
            </w:r>
            <w:r>
              <w:rPr>
                <w:rFonts w:hint="eastAsia"/>
                <w:lang w:bidi="ar"/>
              </w:rPr>
              <w:t>比例税率）</w:t>
            </w:r>
          </w:p>
          <w:p w14:paraId="66A33ADE">
            <w:pPr>
              <w:pStyle w:val="4"/>
              <w:ind w:firstLine="360" w:firstLineChars="200"/>
              <w:rPr>
                <w:lang w:bidi="ar"/>
              </w:rPr>
            </w:pPr>
            <w:r>
              <w:rPr>
                <w:rFonts w:hint="eastAsia"/>
                <w:lang w:bidi="ar"/>
              </w:rPr>
              <w:t>② 实行复合计税方法计算纳税的，组成计税价格的计算公式如下：</w:t>
            </w:r>
          </w:p>
          <w:p w14:paraId="0559420A">
            <w:pPr>
              <w:pStyle w:val="4"/>
              <w:ind w:firstLine="360" w:firstLineChars="200"/>
              <w:rPr>
                <w:lang w:bidi="ar"/>
              </w:rPr>
            </w:pPr>
            <w:r>
              <w:rPr>
                <w:rFonts w:hint="eastAsia"/>
                <w:lang w:bidi="ar"/>
              </w:rPr>
              <w:t>组成计税价格</w:t>
            </w:r>
            <w:r>
              <w:rPr>
                <w:lang w:bidi="ar"/>
              </w:rPr>
              <w:t>=</w:t>
            </w:r>
            <w:r>
              <w:rPr>
                <w:rFonts w:hint="eastAsia"/>
                <w:lang w:bidi="ar"/>
              </w:rPr>
              <w:t>（成本</w:t>
            </w:r>
            <w:r>
              <w:rPr>
                <w:lang w:bidi="ar"/>
              </w:rPr>
              <w:t>+</w:t>
            </w:r>
            <w:r>
              <w:rPr>
                <w:rFonts w:hint="eastAsia"/>
                <w:lang w:bidi="ar"/>
              </w:rPr>
              <w:t>利润</w:t>
            </w:r>
            <w:r>
              <w:rPr>
                <w:lang w:bidi="ar"/>
              </w:rPr>
              <w:t>+</w:t>
            </w:r>
            <w:r>
              <w:rPr>
                <w:rFonts w:hint="eastAsia"/>
                <w:lang w:bidi="ar"/>
              </w:rPr>
              <w:t>自产自用数量×定额税率）÷（</w:t>
            </w:r>
            <w:r>
              <w:rPr>
                <w:lang w:bidi="ar"/>
              </w:rPr>
              <w:t>1−</w:t>
            </w:r>
            <w:r>
              <w:rPr>
                <w:rFonts w:hint="eastAsia"/>
                <w:lang w:bidi="ar"/>
              </w:rPr>
              <w:t>比例税率）</w:t>
            </w:r>
          </w:p>
          <w:p w14:paraId="625EEFEE">
            <w:pPr>
              <w:pStyle w:val="4"/>
              <w:ind w:firstLine="360" w:firstLineChars="200"/>
              <w:rPr>
                <w:b/>
                <w:lang w:bidi="ar"/>
              </w:rPr>
            </w:pPr>
            <w:r>
              <w:rPr>
                <w:lang w:bidi="ar"/>
              </w:rPr>
              <w:t xml:space="preserve">            =</w:t>
            </w:r>
            <w:r>
              <w:rPr>
                <w:rFonts w:hint="eastAsia"/>
                <w:lang w:bidi="ar"/>
              </w:rPr>
              <w:t>［成本×（</w:t>
            </w:r>
            <w:r>
              <w:rPr>
                <w:lang w:bidi="ar"/>
              </w:rPr>
              <w:t>1+</w:t>
            </w:r>
            <w:r>
              <w:rPr>
                <w:rFonts w:hint="eastAsia"/>
                <w:lang w:bidi="ar"/>
              </w:rPr>
              <w:t>成本利润率）</w:t>
            </w:r>
            <w:r>
              <w:rPr>
                <w:lang w:bidi="ar"/>
              </w:rPr>
              <w:t>+</w:t>
            </w:r>
            <w:r>
              <w:rPr>
                <w:rFonts w:hint="eastAsia"/>
                <w:lang w:bidi="ar"/>
              </w:rPr>
              <w:t>自产自用数量×定额税率］÷（</w:t>
            </w:r>
            <w:r>
              <w:rPr>
                <w:lang w:bidi="ar"/>
              </w:rPr>
              <w:t>1−</w:t>
            </w:r>
            <w:r>
              <w:rPr>
                <w:rFonts w:hint="eastAsia"/>
                <w:lang w:bidi="ar"/>
              </w:rPr>
              <w:t>比例税率）</w:t>
            </w:r>
          </w:p>
          <w:p w14:paraId="29BAA667">
            <w:pPr>
              <w:pStyle w:val="4"/>
              <w:ind w:firstLine="360" w:firstLineChars="200"/>
              <w:rPr>
                <w:lang w:bidi="ar"/>
              </w:rPr>
            </w:pPr>
            <w:r>
              <w:rPr>
                <w:rFonts w:hint="eastAsia"/>
                <w:lang w:bidi="ar"/>
              </w:rPr>
              <w:t>其中，成本是指应税消费品的产品生产成本。利润是指根据应税消费品的全国平均成本利润率计算的利润。全国平均成本利润率由国家税务总局确定，具体如表2-5所示。</w:t>
            </w:r>
          </w:p>
          <w:p w14:paraId="1971C3F4">
            <w:pPr>
              <w:pStyle w:val="4"/>
              <w:ind w:firstLine="360" w:firstLineChars="200"/>
              <w:jc w:val="center"/>
              <w:rPr>
                <w:lang w:bidi="ar"/>
              </w:rPr>
            </w:pPr>
            <w:r>
              <w:rPr>
                <w:rFonts w:hint="eastAsia"/>
                <w:lang w:bidi="ar"/>
              </w:rPr>
              <w:t>表2-5  平均成本利润率</w:t>
            </w:r>
          </w:p>
          <w:p w14:paraId="0625E530">
            <w:pPr>
              <w:pStyle w:val="4"/>
              <w:ind w:firstLine="360" w:firstLineChars="200"/>
              <w:jc w:val="center"/>
              <w:rPr>
                <w:lang w:bidi="ar"/>
              </w:rPr>
            </w:pPr>
          </w:p>
          <w:tbl>
            <w:tblPr>
              <w:tblStyle w:val="2"/>
              <w:tblW w:w="76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55"/>
              <w:gridCol w:w="1701"/>
              <w:gridCol w:w="1186"/>
              <w:gridCol w:w="796"/>
              <w:gridCol w:w="1986"/>
              <w:gridCol w:w="1126"/>
            </w:tblGrid>
            <w:tr w14:paraId="14B37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8" w:space="0"/>
                    <w:left w:val="single" w:color="auto" w:sz="4" w:space="0"/>
                    <w:bottom w:val="single" w:color="auto" w:sz="4" w:space="0"/>
                  </w:tcBorders>
                  <w:shd w:val="clear" w:color="auto" w:fill="DAE3F4" w:themeFill="accent1" w:themeFillTint="33"/>
                  <w:vAlign w:val="center"/>
                </w:tcPr>
                <w:p w14:paraId="2B8CE8CC">
                  <w:pPr>
                    <w:pStyle w:val="4"/>
                    <w:jc w:val="center"/>
                    <w:rPr>
                      <w:lang w:bidi="ar"/>
                    </w:rPr>
                  </w:pPr>
                  <w:r>
                    <w:rPr>
                      <w:rFonts w:hint="eastAsia"/>
                      <w:lang w:bidi="ar"/>
                    </w:rPr>
                    <w:t>编号</w:t>
                  </w:r>
                </w:p>
              </w:tc>
              <w:tc>
                <w:tcPr>
                  <w:tcW w:w="1701" w:type="dxa"/>
                  <w:tcBorders>
                    <w:top w:val="single" w:color="auto" w:sz="8" w:space="0"/>
                    <w:bottom w:val="single" w:color="auto" w:sz="4" w:space="0"/>
                  </w:tcBorders>
                  <w:shd w:val="clear" w:color="auto" w:fill="DAE3F4" w:themeFill="accent1" w:themeFillTint="33"/>
                  <w:vAlign w:val="center"/>
                </w:tcPr>
                <w:p w14:paraId="7FF31A62">
                  <w:pPr>
                    <w:pStyle w:val="4"/>
                    <w:jc w:val="center"/>
                    <w:rPr>
                      <w:lang w:bidi="ar"/>
                    </w:rPr>
                  </w:pPr>
                  <w:r>
                    <w:rPr>
                      <w:rFonts w:hint="eastAsia"/>
                      <w:lang w:bidi="ar"/>
                    </w:rPr>
                    <w:t>消费品</w:t>
                  </w:r>
                </w:p>
              </w:tc>
              <w:tc>
                <w:tcPr>
                  <w:tcW w:w="1186" w:type="dxa"/>
                  <w:tcBorders>
                    <w:top w:val="single" w:color="auto" w:sz="8" w:space="0"/>
                    <w:bottom w:val="single" w:color="auto" w:sz="4" w:space="0"/>
                    <w:right w:val="double" w:color="auto" w:sz="4" w:space="0"/>
                  </w:tcBorders>
                  <w:shd w:val="clear" w:color="auto" w:fill="DAE3F4" w:themeFill="accent1" w:themeFillTint="33"/>
                  <w:vAlign w:val="center"/>
                </w:tcPr>
                <w:p w14:paraId="3BAE8B99">
                  <w:pPr>
                    <w:pStyle w:val="4"/>
                    <w:jc w:val="center"/>
                    <w:rPr>
                      <w:lang w:bidi="ar"/>
                    </w:rPr>
                  </w:pPr>
                  <w:r>
                    <w:rPr>
                      <w:rFonts w:hint="eastAsia"/>
                      <w:lang w:bidi="ar"/>
                    </w:rPr>
                    <w:t>利润率/%</w:t>
                  </w:r>
                </w:p>
              </w:tc>
              <w:tc>
                <w:tcPr>
                  <w:tcW w:w="796" w:type="dxa"/>
                  <w:tcBorders>
                    <w:top w:val="single" w:color="auto" w:sz="8" w:space="0"/>
                    <w:left w:val="double" w:color="auto" w:sz="4" w:space="0"/>
                    <w:bottom w:val="single" w:color="auto" w:sz="4" w:space="0"/>
                  </w:tcBorders>
                  <w:shd w:val="clear" w:color="auto" w:fill="DAE3F4" w:themeFill="accent1" w:themeFillTint="33"/>
                  <w:vAlign w:val="center"/>
                </w:tcPr>
                <w:p w14:paraId="0352AFF2">
                  <w:pPr>
                    <w:pStyle w:val="4"/>
                    <w:jc w:val="center"/>
                    <w:rPr>
                      <w:lang w:bidi="ar"/>
                    </w:rPr>
                  </w:pPr>
                  <w:r>
                    <w:rPr>
                      <w:rFonts w:hint="eastAsia"/>
                      <w:lang w:bidi="ar"/>
                    </w:rPr>
                    <w:t>编号</w:t>
                  </w:r>
                </w:p>
              </w:tc>
              <w:tc>
                <w:tcPr>
                  <w:tcW w:w="1986" w:type="dxa"/>
                  <w:tcBorders>
                    <w:top w:val="single" w:color="auto" w:sz="8" w:space="0"/>
                    <w:bottom w:val="single" w:color="auto" w:sz="4" w:space="0"/>
                  </w:tcBorders>
                  <w:shd w:val="clear" w:color="auto" w:fill="DAE3F4" w:themeFill="accent1" w:themeFillTint="33"/>
                  <w:vAlign w:val="center"/>
                </w:tcPr>
                <w:p w14:paraId="230F0760">
                  <w:pPr>
                    <w:pStyle w:val="4"/>
                    <w:jc w:val="center"/>
                    <w:rPr>
                      <w:lang w:bidi="ar"/>
                    </w:rPr>
                  </w:pPr>
                  <w:r>
                    <w:rPr>
                      <w:rFonts w:hint="eastAsia"/>
                      <w:lang w:bidi="ar"/>
                    </w:rPr>
                    <w:t>消费品</w:t>
                  </w:r>
                </w:p>
              </w:tc>
              <w:tc>
                <w:tcPr>
                  <w:tcW w:w="1126" w:type="dxa"/>
                  <w:tcBorders>
                    <w:top w:val="single" w:color="auto" w:sz="8" w:space="0"/>
                    <w:bottom w:val="single" w:color="auto" w:sz="4" w:space="0"/>
                    <w:right w:val="nil"/>
                  </w:tcBorders>
                  <w:shd w:val="clear" w:color="auto" w:fill="DAE3F4" w:themeFill="accent1" w:themeFillTint="33"/>
                  <w:vAlign w:val="center"/>
                </w:tcPr>
                <w:p w14:paraId="31E3DABE">
                  <w:pPr>
                    <w:pStyle w:val="4"/>
                    <w:jc w:val="center"/>
                    <w:rPr>
                      <w:lang w:bidi="ar"/>
                    </w:rPr>
                  </w:pPr>
                  <w:r>
                    <w:rPr>
                      <w:rFonts w:hint="eastAsia"/>
                      <w:lang w:bidi="ar"/>
                    </w:rPr>
                    <w:t>利润率/%</w:t>
                  </w:r>
                </w:p>
              </w:tc>
            </w:tr>
            <w:tr w14:paraId="27CAA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7B2F7406">
                  <w:pPr>
                    <w:pStyle w:val="4"/>
                    <w:jc w:val="center"/>
                    <w:rPr>
                      <w:lang w:bidi="ar"/>
                    </w:rPr>
                  </w:pPr>
                  <w:r>
                    <w:rPr>
                      <w:lang w:bidi="ar"/>
                    </w:rPr>
                    <w:t>1</w:t>
                  </w:r>
                </w:p>
              </w:tc>
              <w:tc>
                <w:tcPr>
                  <w:tcW w:w="1701" w:type="dxa"/>
                  <w:tcBorders>
                    <w:top w:val="single" w:color="auto" w:sz="4" w:space="0"/>
                    <w:bottom w:val="single" w:color="auto" w:sz="4" w:space="0"/>
                  </w:tcBorders>
                  <w:vAlign w:val="center"/>
                </w:tcPr>
                <w:p w14:paraId="645BF967">
                  <w:pPr>
                    <w:pStyle w:val="4"/>
                    <w:jc w:val="center"/>
                    <w:rPr>
                      <w:lang w:bidi="ar"/>
                    </w:rPr>
                  </w:pPr>
                  <w:r>
                    <w:rPr>
                      <w:rFonts w:hint="eastAsia"/>
                      <w:lang w:bidi="ar"/>
                    </w:rPr>
                    <w:t>甲类卷烟</w:t>
                  </w:r>
                </w:p>
              </w:tc>
              <w:tc>
                <w:tcPr>
                  <w:tcW w:w="1186" w:type="dxa"/>
                  <w:tcBorders>
                    <w:top w:val="single" w:color="auto" w:sz="4" w:space="0"/>
                    <w:bottom w:val="single" w:color="auto" w:sz="4" w:space="0"/>
                    <w:right w:val="double" w:color="auto" w:sz="4" w:space="0"/>
                  </w:tcBorders>
                  <w:shd w:val="clear" w:color="auto" w:fill="auto"/>
                  <w:vAlign w:val="center"/>
                </w:tcPr>
                <w:p w14:paraId="11A04DF1">
                  <w:pPr>
                    <w:pStyle w:val="4"/>
                    <w:jc w:val="center"/>
                    <w:rPr>
                      <w:lang w:bidi="ar"/>
                    </w:rPr>
                  </w:pPr>
                  <w:r>
                    <w:rPr>
                      <w:lang w:bidi="ar"/>
                    </w:rPr>
                    <w:t>10</w:t>
                  </w:r>
                </w:p>
              </w:tc>
              <w:tc>
                <w:tcPr>
                  <w:tcW w:w="796" w:type="dxa"/>
                  <w:tcBorders>
                    <w:top w:val="single" w:color="auto" w:sz="4" w:space="0"/>
                    <w:left w:val="double" w:color="auto" w:sz="4" w:space="0"/>
                    <w:bottom w:val="single" w:color="auto" w:sz="4" w:space="0"/>
                  </w:tcBorders>
                  <w:shd w:val="clear" w:color="auto" w:fill="auto"/>
                  <w:vAlign w:val="center"/>
                </w:tcPr>
                <w:p w14:paraId="726268ED">
                  <w:pPr>
                    <w:pStyle w:val="4"/>
                    <w:jc w:val="center"/>
                    <w:rPr>
                      <w:lang w:bidi="ar"/>
                    </w:rPr>
                  </w:pPr>
                  <w:r>
                    <w:rPr>
                      <w:lang w:bidi="ar"/>
                    </w:rPr>
                    <w:t>11</w:t>
                  </w:r>
                </w:p>
              </w:tc>
              <w:tc>
                <w:tcPr>
                  <w:tcW w:w="1986" w:type="dxa"/>
                  <w:tcBorders>
                    <w:top w:val="single" w:color="auto" w:sz="4" w:space="0"/>
                    <w:bottom w:val="single" w:color="auto" w:sz="4" w:space="0"/>
                  </w:tcBorders>
                  <w:vAlign w:val="center"/>
                </w:tcPr>
                <w:p w14:paraId="1252DE10">
                  <w:pPr>
                    <w:pStyle w:val="4"/>
                    <w:jc w:val="center"/>
                    <w:rPr>
                      <w:lang w:bidi="ar"/>
                    </w:rPr>
                  </w:pPr>
                  <w:r>
                    <w:rPr>
                      <w:rFonts w:hint="eastAsia"/>
                      <w:lang w:bidi="ar"/>
                    </w:rPr>
                    <w:t>摩托车</w:t>
                  </w:r>
                </w:p>
              </w:tc>
              <w:tc>
                <w:tcPr>
                  <w:tcW w:w="1126" w:type="dxa"/>
                  <w:tcBorders>
                    <w:top w:val="single" w:color="auto" w:sz="4" w:space="0"/>
                    <w:bottom w:val="single" w:color="auto" w:sz="4" w:space="0"/>
                    <w:right w:val="nil"/>
                  </w:tcBorders>
                  <w:shd w:val="clear" w:color="auto" w:fill="auto"/>
                  <w:vAlign w:val="center"/>
                </w:tcPr>
                <w:p w14:paraId="54A83B71">
                  <w:pPr>
                    <w:pStyle w:val="4"/>
                    <w:jc w:val="center"/>
                    <w:rPr>
                      <w:lang w:bidi="ar"/>
                    </w:rPr>
                  </w:pPr>
                  <w:r>
                    <w:rPr>
                      <w:lang w:bidi="ar"/>
                    </w:rPr>
                    <w:t>6</w:t>
                  </w:r>
                </w:p>
              </w:tc>
            </w:tr>
            <w:tr w14:paraId="2938BC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245A5CF5">
                  <w:pPr>
                    <w:pStyle w:val="4"/>
                    <w:jc w:val="center"/>
                    <w:rPr>
                      <w:lang w:bidi="ar"/>
                    </w:rPr>
                  </w:pPr>
                  <w:r>
                    <w:rPr>
                      <w:lang w:bidi="ar"/>
                    </w:rPr>
                    <w:t>2</w:t>
                  </w:r>
                </w:p>
              </w:tc>
              <w:tc>
                <w:tcPr>
                  <w:tcW w:w="1701" w:type="dxa"/>
                  <w:tcBorders>
                    <w:top w:val="single" w:color="auto" w:sz="4" w:space="0"/>
                    <w:bottom w:val="single" w:color="auto" w:sz="4" w:space="0"/>
                  </w:tcBorders>
                  <w:vAlign w:val="center"/>
                </w:tcPr>
                <w:p w14:paraId="167FF524">
                  <w:pPr>
                    <w:pStyle w:val="4"/>
                    <w:jc w:val="center"/>
                    <w:rPr>
                      <w:lang w:bidi="ar"/>
                    </w:rPr>
                  </w:pPr>
                  <w:r>
                    <w:rPr>
                      <w:rFonts w:hint="eastAsia"/>
                      <w:lang w:bidi="ar"/>
                    </w:rPr>
                    <w:t>乙类卷烟</w:t>
                  </w:r>
                </w:p>
              </w:tc>
              <w:tc>
                <w:tcPr>
                  <w:tcW w:w="1186" w:type="dxa"/>
                  <w:tcBorders>
                    <w:top w:val="single" w:color="auto" w:sz="4" w:space="0"/>
                    <w:bottom w:val="single" w:color="auto" w:sz="4" w:space="0"/>
                    <w:right w:val="double" w:color="auto" w:sz="4" w:space="0"/>
                  </w:tcBorders>
                  <w:shd w:val="clear" w:color="auto" w:fill="auto"/>
                  <w:vAlign w:val="center"/>
                </w:tcPr>
                <w:p w14:paraId="172C3B3B">
                  <w:pPr>
                    <w:pStyle w:val="4"/>
                    <w:jc w:val="center"/>
                    <w:rPr>
                      <w:lang w:bidi="ar"/>
                    </w:rPr>
                  </w:pPr>
                  <w:r>
                    <w:rPr>
                      <w:lang w:bidi="ar"/>
                    </w:rPr>
                    <w:t>5</w:t>
                  </w:r>
                </w:p>
              </w:tc>
              <w:tc>
                <w:tcPr>
                  <w:tcW w:w="796" w:type="dxa"/>
                  <w:tcBorders>
                    <w:top w:val="single" w:color="auto" w:sz="4" w:space="0"/>
                    <w:left w:val="double" w:color="auto" w:sz="4" w:space="0"/>
                    <w:bottom w:val="single" w:color="auto" w:sz="4" w:space="0"/>
                  </w:tcBorders>
                  <w:shd w:val="clear" w:color="auto" w:fill="auto"/>
                  <w:vAlign w:val="center"/>
                </w:tcPr>
                <w:p w14:paraId="22E49056">
                  <w:pPr>
                    <w:pStyle w:val="4"/>
                    <w:jc w:val="center"/>
                    <w:rPr>
                      <w:lang w:bidi="ar"/>
                    </w:rPr>
                  </w:pPr>
                  <w:r>
                    <w:rPr>
                      <w:lang w:bidi="ar"/>
                    </w:rPr>
                    <w:t>12</w:t>
                  </w:r>
                </w:p>
              </w:tc>
              <w:tc>
                <w:tcPr>
                  <w:tcW w:w="1986" w:type="dxa"/>
                  <w:tcBorders>
                    <w:top w:val="single" w:color="auto" w:sz="4" w:space="0"/>
                    <w:bottom w:val="single" w:color="auto" w:sz="4" w:space="0"/>
                  </w:tcBorders>
                  <w:vAlign w:val="center"/>
                </w:tcPr>
                <w:p w14:paraId="758AAF9B">
                  <w:pPr>
                    <w:pStyle w:val="4"/>
                    <w:jc w:val="center"/>
                    <w:rPr>
                      <w:lang w:bidi="ar"/>
                    </w:rPr>
                  </w:pPr>
                  <w:r>
                    <w:rPr>
                      <w:rFonts w:hint="eastAsia"/>
                      <w:lang w:bidi="ar"/>
                    </w:rPr>
                    <w:t>高尔夫球及球具</w:t>
                  </w:r>
                </w:p>
              </w:tc>
              <w:tc>
                <w:tcPr>
                  <w:tcW w:w="1126" w:type="dxa"/>
                  <w:tcBorders>
                    <w:top w:val="single" w:color="auto" w:sz="4" w:space="0"/>
                    <w:bottom w:val="single" w:color="auto" w:sz="4" w:space="0"/>
                    <w:right w:val="nil"/>
                  </w:tcBorders>
                  <w:shd w:val="clear" w:color="auto" w:fill="auto"/>
                  <w:vAlign w:val="center"/>
                </w:tcPr>
                <w:p w14:paraId="4E3720B3">
                  <w:pPr>
                    <w:pStyle w:val="4"/>
                    <w:jc w:val="center"/>
                    <w:rPr>
                      <w:lang w:bidi="ar"/>
                    </w:rPr>
                  </w:pPr>
                  <w:r>
                    <w:rPr>
                      <w:lang w:bidi="ar"/>
                    </w:rPr>
                    <w:t>10</w:t>
                  </w:r>
                </w:p>
              </w:tc>
            </w:tr>
            <w:tr w14:paraId="40E174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32616559">
                  <w:pPr>
                    <w:pStyle w:val="4"/>
                    <w:jc w:val="center"/>
                    <w:rPr>
                      <w:lang w:bidi="ar"/>
                    </w:rPr>
                  </w:pPr>
                  <w:r>
                    <w:rPr>
                      <w:lang w:bidi="ar"/>
                    </w:rPr>
                    <w:t>3</w:t>
                  </w:r>
                </w:p>
              </w:tc>
              <w:tc>
                <w:tcPr>
                  <w:tcW w:w="1701" w:type="dxa"/>
                  <w:tcBorders>
                    <w:top w:val="single" w:color="auto" w:sz="4" w:space="0"/>
                    <w:bottom w:val="single" w:color="auto" w:sz="4" w:space="0"/>
                  </w:tcBorders>
                  <w:vAlign w:val="center"/>
                </w:tcPr>
                <w:p w14:paraId="0ABF9403">
                  <w:pPr>
                    <w:pStyle w:val="4"/>
                    <w:jc w:val="center"/>
                    <w:rPr>
                      <w:lang w:bidi="ar"/>
                    </w:rPr>
                  </w:pPr>
                  <w:r>
                    <w:rPr>
                      <w:rFonts w:hint="eastAsia"/>
                      <w:lang w:bidi="ar"/>
                    </w:rPr>
                    <w:t>雪茄烟、烟丝</w:t>
                  </w:r>
                </w:p>
              </w:tc>
              <w:tc>
                <w:tcPr>
                  <w:tcW w:w="1186" w:type="dxa"/>
                  <w:tcBorders>
                    <w:top w:val="single" w:color="auto" w:sz="4" w:space="0"/>
                    <w:bottom w:val="single" w:color="auto" w:sz="4" w:space="0"/>
                    <w:right w:val="double" w:color="auto" w:sz="4" w:space="0"/>
                  </w:tcBorders>
                  <w:shd w:val="clear" w:color="auto" w:fill="auto"/>
                  <w:vAlign w:val="center"/>
                </w:tcPr>
                <w:p w14:paraId="57D3A6B4">
                  <w:pPr>
                    <w:pStyle w:val="4"/>
                    <w:jc w:val="center"/>
                    <w:rPr>
                      <w:lang w:bidi="ar"/>
                    </w:rPr>
                  </w:pPr>
                  <w:r>
                    <w:rPr>
                      <w:lang w:bidi="ar"/>
                    </w:rPr>
                    <w:t>5</w:t>
                  </w:r>
                </w:p>
              </w:tc>
              <w:tc>
                <w:tcPr>
                  <w:tcW w:w="796" w:type="dxa"/>
                  <w:tcBorders>
                    <w:top w:val="single" w:color="auto" w:sz="4" w:space="0"/>
                    <w:left w:val="double" w:color="auto" w:sz="4" w:space="0"/>
                    <w:bottom w:val="single" w:color="auto" w:sz="4" w:space="0"/>
                  </w:tcBorders>
                  <w:shd w:val="clear" w:color="auto" w:fill="auto"/>
                  <w:vAlign w:val="center"/>
                </w:tcPr>
                <w:p w14:paraId="29D280A4">
                  <w:pPr>
                    <w:pStyle w:val="4"/>
                    <w:jc w:val="center"/>
                    <w:rPr>
                      <w:lang w:bidi="ar"/>
                    </w:rPr>
                  </w:pPr>
                  <w:r>
                    <w:rPr>
                      <w:lang w:bidi="ar"/>
                    </w:rPr>
                    <w:t>13</w:t>
                  </w:r>
                </w:p>
              </w:tc>
              <w:tc>
                <w:tcPr>
                  <w:tcW w:w="1986" w:type="dxa"/>
                  <w:tcBorders>
                    <w:top w:val="single" w:color="auto" w:sz="4" w:space="0"/>
                    <w:bottom w:val="single" w:color="auto" w:sz="4" w:space="0"/>
                  </w:tcBorders>
                  <w:vAlign w:val="center"/>
                </w:tcPr>
                <w:p w14:paraId="461F9254">
                  <w:pPr>
                    <w:pStyle w:val="4"/>
                    <w:jc w:val="center"/>
                    <w:rPr>
                      <w:lang w:bidi="ar"/>
                    </w:rPr>
                  </w:pPr>
                  <w:r>
                    <w:rPr>
                      <w:lang w:bidi="ar"/>
                    </w:rPr>
                    <w:t>高档手表</w:t>
                  </w:r>
                </w:p>
              </w:tc>
              <w:tc>
                <w:tcPr>
                  <w:tcW w:w="1126" w:type="dxa"/>
                  <w:tcBorders>
                    <w:top w:val="single" w:color="auto" w:sz="4" w:space="0"/>
                    <w:bottom w:val="single" w:color="auto" w:sz="4" w:space="0"/>
                    <w:right w:val="nil"/>
                  </w:tcBorders>
                  <w:shd w:val="clear" w:color="auto" w:fill="auto"/>
                  <w:vAlign w:val="center"/>
                </w:tcPr>
                <w:p w14:paraId="208B7815">
                  <w:pPr>
                    <w:pStyle w:val="4"/>
                    <w:jc w:val="center"/>
                    <w:rPr>
                      <w:lang w:bidi="ar"/>
                    </w:rPr>
                  </w:pPr>
                  <w:r>
                    <w:rPr>
                      <w:rFonts w:hint="eastAsia"/>
                      <w:lang w:bidi="ar"/>
                    </w:rPr>
                    <w:t>2</w:t>
                  </w:r>
                  <w:r>
                    <w:rPr>
                      <w:lang w:bidi="ar"/>
                    </w:rPr>
                    <w:t>0</w:t>
                  </w:r>
                </w:p>
              </w:tc>
            </w:tr>
            <w:tr w14:paraId="60924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0D1111D9">
                  <w:pPr>
                    <w:pStyle w:val="4"/>
                    <w:jc w:val="center"/>
                    <w:rPr>
                      <w:lang w:bidi="ar"/>
                    </w:rPr>
                  </w:pPr>
                  <w:r>
                    <w:rPr>
                      <w:lang w:bidi="ar"/>
                    </w:rPr>
                    <w:t>4</w:t>
                  </w:r>
                </w:p>
              </w:tc>
              <w:tc>
                <w:tcPr>
                  <w:tcW w:w="1701" w:type="dxa"/>
                  <w:tcBorders>
                    <w:top w:val="single" w:color="auto" w:sz="4" w:space="0"/>
                    <w:bottom w:val="single" w:color="auto" w:sz="4" w:space="0"/>
                  </w:tcBorders>
                  <w:vAlign w:val="center"/>
                </w:tcPr>
                <w:p w14:paraId="6138ED71">
                  <w:pPr>
                    <w:pStyle w:val="4"/>
                    <w:jc w:val="center"/>
                    <w:rPr>
                      <w:lang w:bidi="ar"/>
                    </w:rPr>
                  </w:pPr>
                  <w:r>
                    <w:rPr>
                      <w:rFonts w:hint="eastAsia"/>
                      <w:lang w:bidi="ar"/>
                    </w:rPr>
                    <w:t>电子烟</w:t>
                  </w:r>
                </w:p>
              </w:tc>
              <w:tc>
                <w:tcPr>
                  <w:tcW w:w="1186" w:type="dxa"/>
                  <w:tcBorders>
                    <w:top w:val="single" w:color="auto" w:sz="4" w:space="0"/>
                    <w:bottom w:val="single" w:color="auto" w:sz="4" w:space="0"/>
                    <w:right w:val="double" w:color="auto" w:sz="4" w:space="0"/>
                  </w:tcBorders>
                  <w:shd w:val="clear" w:color="auto" w:fill="auto"/>
                  <w:vAlign w:val="center"/>
                </w:tcPr>
                <w:p w14:paraId="2AED0FC2">
                  <w:pPr>
                    <w:pStyle w:val="4"/>
                    <w:jc w:val="center"/>
                    <w:rPr>
                      <w:lang w:bidi="ar"/>
                    </w:rPr>
                  </w:pPr>
                  <w:r>
                    <w:rPr>
                      <w:lang w:bidi="ar"/>
                    </w:rPr>
                    <w:t>10</w:t>
                  </w:r>
                </w:p>
              </w:tc>
              <w:tc>
                <w:tcPr>
                  <w:tcW w:w="796" w:type="dxa"/>
                  <w:tcBorders>
                    <w:top w:val="single" w:color="auto" w:sz="4" w:space="0"/>
                    <w:left w:val="double" w:color="auto" w:sz="4" w:space="0"/>
                    <w:bottom w:val="single" w:color="auto" w:sz="4" w:space="0"/>
                  </w:tcBorders>
                  <w:shd w:val="clear" w:color="auto" w:fill="auto"/>
                  <w:vAlign w:val="center"/>
                </w:tcPr>
                <w:p w14:paraId="51E40A3F">
                  <w:pPr>
                    <w:pStyle w:val="4"/>
                    <w:jc w:val="center"/>
                    <w:rPr>
                      <w:lang w:bidi="ar"/>
                    </w:rPr>
                  </w:pPr>
                  <w:r>
                    <w:rPr>
                      <w:lang w:bidi="ar"/>
                    </w:rPr>
                    <w:t>14</w:t>
                  </w:r>
                </w:p>
              </w:tc>
              <w:tc>
                <w:tcPr>
                  <w:tcW w:w="1986" w:type="dxa"/>
                  <w:tcBorders>
                    <w:top w:val="single" w:color="auto" w:sz="4" w:space="0"/>
                    <w:bottom w:val="single" w:color="auto" w:sz="4" w:space="0"/>
                  </w:tcBorders>
                  <w:vAlign w:val="center"/>
                </w:tcPr>
                <w:p w14:paraId="528B04E8">
                  <w:pPr>
                    <w:pStyle w:val="4"/>
                    <w:jc w:val="center"/>
                    <w:rPr>
                      <w:lang w:bidi="ar"/>
                    </w:rPr>
                  </w:pPr>
                  <w:r>
                    <w:rPr>
                      <w:lang w:bidi="ar"/>
                    </w:rPr>
                    <w:t>游艇</w:t>
                  </w:r>
                </w:p>
              </w:tc>
              <w:tc>
                <w:tcPr>
                  <w:tcW w:w="1126" w:type="dxa"/>
                  <w:tcBorders>
                    <w:top w:val="single" w:color="auto" w:sz="4" w:space="0"/>
                    <w:bottom w:val="single" w:color="auto" w:sz="4" w:space="0"/>
                    <w:right w:val="nil"/>
                  </w:tcBorders>
                  <w:shd w:val="clear" w:color="auto" w:fill="auto"/>
                  <w:vAlign w:val="center"/>
                </w:tcPr>
                <w:p w14:paraId="09C59ECB">
                  <w:pPr>
                    <w:pStyle w:val="4"/>
                    <w:jc w:val="center"/>
                    <w:rPr>
                      <w:lang w:bidi="ar"/>
                    </w:rPr>
                  </w:pPr>
                  <w:r>
                    <w:rPr>
                      <w:rFonts w:hint="eastAsia"/>
                      <w:lang w:bidi="ar"/>
                    </w:rPr>
                    <w:t>1</w:t>
                  </w:r>
                  <w:r>
                    <w:rPr>
                      <w:lang w:bidi="ar"/>
                    </w:rPr>
                    <w:t>0</w:t>
                  </w:r>
                </w:p>
              </w:tc>
            </w:tr>
            <w:tr w14:paraId="5DB57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35C48995">
                  <w:pPr>
                    <w:pStyle w:val="4"/>
                    <w:jc w:val="center"/>
                    <w:rPr>
                      <w:lang w:bidi="ar"/>
                    </w:rPr>
                  </w:pPr>
                  <w:r>
                    <w:rPr>
                      <w:lang w:bidi="ar"/>
                    </w:rPr>
                    <w:t>5</w:t>
                  </w:r>
                </w:p>
              </w:tc>
              <w:tc>
                <w:tcPr>
                  <w:tcW w:w="1701" w:type="dxa"/>
                  <w:tcBorders>
                    <w:top w:val="single" w:color="auto" w:sz="4" w:space="0"/>
                    <w:bottom w:val="single" w:color="auto" w:sz="4" w:space="0"/>
                  </w:tcBorders>
                  <w:vAlign w:val="center"/>
                </w:tcPr>
                <w:p w14:paraId="301E2251">
                  <w:pPr>
                    <w:pStyle w:val="4"/>
                    <w:jc w:val="center"/>
                    <w:rPr>
                      <w:lang w:bidi="ar"/>
                    </w:rPr>
                  </w:pPr>
                  <w:r>
                    <w:rPr>
                      <w:rFonts w:hint="eastAsia"/>
                      <w:lang w:bidi="ar"/>
                    </w:rPr>
                    <w:t>粮食白酒</w:t>
                  </w:r>
                </w:p>
              </w:tc>
              <w:tc>
                <w:tcPr>
                  <w:tcW w:w="1186" w:type="dxa"/>
                  <w:tcBorders>
                    <w:top w:val="single" w:color="auto" w:sz="4" w:space="0"/>
                    <w:bottom w:val="single" w:color="auto" w:sz="4" w:space="0"/>
                    <w:right w:val="double" w:color="auto" w:sz="4" w:space="0"/>
                  </w:tcBorders>
                  <w:shd w:val="clear" w:color="auto" w:fill="auto"/>
                  <w:vAlign w:val="center"/>
                </w:tcPr>
                <w:p w14:paraId="5C790DCB">
                  <w:pPr>
                    <w:pStyle w:val="4"/>
                    <w:jc w:val="center"/>
                    <w:rPr>
                      <w:lang w:bidi="ar"/>
                    </w:rPr>
                  </w:pPr>
                  <w:r>
                    <w:rPr>
                      <w:lang w:bidi="ar"/>
                    </w:rPr>
                    <w:t>10</w:t>
                  </w:r>
                </w:p>
              </w:tc>
              <w:tc>
                <w:tcPr>
                  <w:tcW w:w="796" w:type="dxa"/>
                  <w:tcBorders>
                    <w:top w:val="single" w:color="auto" w:sz="4" w:space="0"/>
                    <w:left w:val="double" w:color="auto" w:sz="4" w:space="0"/>
                    <w:bottom w:val="single" w:color="auto" w:sz="4" w:space="0"/>
                  </w:tcBorders>
                  <w:shd w:val="clear" w:color="auto" w:fill="auto"/>
                  <w:vAlign w:val="center"/>
                </w:tcPr>
                <w:p w14:paraId="78111D41">
                  <w:pPr>
                    <w:pStyle w:val="4"/>
                    <w:jc w:val="center"/>
                    <w:rPr>
                      <w:lang w:bidi="ar"/>
                    </w:rPr>
                  </w:pPr>
                  <w:r>
                    <w:rPr>
                      <w:lang w:bidi="ar"/>
                    </w:rPr>
                    <w:t>15</w:t>
                  </w:r>
                </w:p>
              </w:tc>
              <w:tc>
                <w:tcPr>
                  <w:tcW w:w="1986" w:type="dxa"/>
                  <w:tcBorders>
                    <w:top w:val="single" w:color="auto" w:sz="4" w:space="0"/>
                    <w:bottom w:val="single" w:color="auto" w:sz="4" w:space="0"/>
                  </w:tcBorders>
                  <w:vAlign w:val="center"/>
                </w:tcPr>
                <w:p w14:paraId="28EFD42E">
                  <w:pPr>
                    <w:pStyle w:val="4"/>
                    <w:jc w:val="center"/>
                    <w:rPr>
                      <w:lang w:bidi="ar"/>
                    </w:rPr>
                  </w:pPr>
                  <w:r>
                    <w:rPr>
                      <w:lang w:bidi="ar"/>
                    </w:rPr>
                    <w:t>木制一次性筷子</w:t>
                  </w:r>
                </w:p>
              </w:tc>
              <w:tc>
                <w:tcPr>
                  <w:tcW w:w="1126" w:type="dxa"/>
                  <w:tcBorders>
                    <w:top w:val="single" w:color="auto" w:sz="4" w:space="0"/>
                    <w:bottom w:val="single" w:color="auto" w:sz="4" w:space="0"/>
                    <w:right w:val="nil"/>
                  </w:tcBorders>
                  <w:shd w:val="clear" w:color="auto" w:fill="auto"/>
                  <w:vAlign w:val="center"/>
                </w:tcPr>
                <w:p w14:paraId="6741B002">
                  <w:pPr>
                    <w:pStyle w:val="4"/>
                    <w:jc w:val="center"/>
                    <w:rPr>
                      <w:lang w:bidi="ar"/>
                    </w:rPr>
                  </w:pPr>
                  <w:r>
                    <w:rPr>
                      <w:rFonts w:hint="eastAsia"/>
                      <w:lang w:bidi="ar"/>
                    </w:rPr>
                    <w:t>5</w:t>
                  </w:r>
                </w:p>
              </w:tc>
            </w:tr>
            <w:tr w14:paraId="031A51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tcBorders>
                  <w:shd w:val="clear" w:color="auto" w:fill="auto"/>
                  <w:vAlign w:val="center"/>
                </w:tcPr>
                <w:p w14:paraId="253A29E6">
                  <w:pPr>
                    <w:pStyle w:val="4"/>
                    <w:jc w:val="center"/>
                    <w:rPr>
                      <w:lang w:bidi="ar"/>
                    </w:rPr>
                  </w:pPr>
                  <w:r>
                    <w:rPr>
                      <w:lang w:bidi="ar"/>
                    </w:rPr>
                    <w:t>6</w:t>
                  </w:r>
                </w:p>
              </w:tc>
              <w:tc>
                <w:tcPr>
                  <w:tcW w:w="1701" w:type="dxa"/>
                  <w:tcBorders>
                    <w:top w:val="single" w:color="auto" w:sz="4" w:space="0"/>
                    <w:bottom w:val="single" w:color="auto" w:sz="4" w:space="0"/>
                  </w:tcBorders>
                  <w:vAlign w:val="center"/>
                </w:tcPr>
                <w:p w14:paraId="2663E6BD">
                  <w:pPr>
                    <w:pStyle w:val="4"/>
                    <w:jc w:val="center"/>
                    <w:rPr>
                      <w:lang w:bidi="ar"/>
                    </w:rPr>
                  </w:pPr>
                  <w:r>
                    <w:rPr>
                      <w:rFonts w:hint="eastAsia"/>
                      <w:lang w:bidi="ar"/>
                    </w:rPr>
                    <w:t>薯类白酒</w:t>
                  </w:r>
                </w:p>
              </w:tc>
              <w:tc>
                <w:tcPr>
                  <w:tcW w:w="1186" w:type="dxa"/>
                  <w:tcBorders>
                    <w:top w:val="single" w:color="auto" w:sz="4" w:space="0"/>
                    <w:bottom w:val="single" w:color="auto" w:sz="4" w:space="0"/>
                    <w:right w:val="double" w:color="auto" w:sz="4" w:space="0"/>
                  </w:tcBorders>
                  <w:shd w:val="clear" w:color="auto" w:fill="auto"/>
                  <w:vAlign w:val="center"/>
                </w:tcPr>
                <w:p w14:paraId="0B387A05">
                  <w:pPr>
                    <w:pStyle w:val="4"/>
                    <w:jc w:val="center"/>
                    <w:rPr>
                      <w:lang w:bidi="ar"/>
                    </w:rPr>
                  </w:pPr>
                  <w:r>
                    <w:rPr>
                      <w:lang w:bidi="ar"/>
                    </w:rPr>
                    <w:t>5</w:t>
                  </w:r>
                </w:p>
              </w:tc>
              <w:tc>
                <w:tcPr>
                  <w:tcW w:w="796" w:type="dxa"/>
                  <w:tcBorders>
                    <w:top w:val="single" w:color="auto" w:sz="4" w:space="0"/>
                    <w:left w:val="double" w:color="auto" w:sz="4" w:space="0"/>
                    <w:bottom w:val="single" w:color="auto" w:sz="4" w:space="0"/>
                  </w:tcBorders>
                  <w:shd w:val="clear" w:color="auto" w:fill="auto"/>
                  <w:vAlign w:val="center"/>
                </w:tcPr>
                <w:p w14:paraId="1508CA7F">
                  <w:pPr>
                    <w:pStyle w:val="4"/>
                    <w:jc w:val="center"/>
                    <w:rPr>
                      <w:lang w:bidi="ar"/>
                    </w:rPr>
                  </w:pPr>
                  <w:r>
                    <w:rPr>
                      <w:lang w:bidi="ar"/>
                    </w:rPr>
                    <w:t>16</w:t>
                  </w:r>
                </w:p>
              </w:tc>
              <w:tc>
                <w:tcPr>
                  <w:tcW w:w="1986" w:type="dxa"/>
                  <w:tcBorders>
                    <w:top w:val="single" w:color="auto" w:sz="4" w:space="0"/>
                    <w:bottom w:val="single" w:color="auto" w:sz="4" w:space="0"/>
                  </w:tcBorders>
                  <w:vAlign w:val="center"/>
                </w:tcPr>
                <w:p w14:paraId="5613DEF3">
                  <w:pPr>
                    <w:pStyle w:val="4"/>
                    <w:jc w:val="center"/>
                    <w:rPr>
                      <w:lang w:bidi="ar"/>
                    </w:rPr>
                  </w:pPr>
                  <w:r>
                    <w:rPr>
                      <w:lang w:bidi="ar"/>
                    </w:rPr>
                    <w:t>实木地板</w:t>
                  </w:r>
                </w:p>
              </w:tc>
              <w:tc>
                <w:tcPr>
                  <w:tcW w:w="1126" w:type="dxa"/>
                  <w:tcBorders>
                    <w:top w:val="single" w:color="auto" w:sz="4" w:space="0"/>
                    <w:bottom w:val="single" w:color="auto" w:sz="4" w:space="0"/>
                    <w:right w:val="nil"/>
                  </w:tcBorders>
                  <w:shd w:val="clear" w:color="auto" w:fill="auto"/>
                  <w:vAlign w:val="center"/>
                </w:tcPr>
                <w:p w14:paraId="32D7F23F">
                  <w:pPr>
                    <w:pStyle w:val="4"/>
                    <w:jc w:val="center"/>
                    <w:rPr>
                      <w:lang w:bidi="ar"/>
                    </w:rPr>
                  </w:pPr>
                  <w:r>
                    <w:rPr>
                      <w:rFonts w:hint="eastAsia"/>
                      <w:lang w:bidi="ar"/>
                    </w:rPr>
                    <w:t>5</w:t>
                  </w:r>
                </w:p>
              </w:tc>
            </w:tr>
            <w:tr w14:paraId="2A568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E2782A0">
                  <w:pPr>
                    <w:pStyle w:val="4"/>
                    <w:jc w:val="center"/>
                    <w:rPr>
                      <w:lang w:bidi="ar"/>
                    </w:rPr>
                  </w:pPr>
                  <w:r>
                    <w:rPr>
                      <w:lang w:bidi="ar"/>
                    </w:rPr>
                    <w:t>7</w:t>
                  </w:r>
                </w:p>
              </w:tc>
              <w:tc>
                <w:tcPr>
                  <w:tcW w:w="1701" w:type="dxa"/>
                  <w:tcBorders>
                    <w:top w:val="single" w:color="auto" w:sz="4" w:space="0"/>
                    <w:left w:val="single" w:color="auto" w:sz="4" w:space="0"/>
                    <w:bottom w:val="single" w:color="auto" w:sz="4" w:space="0"/>
                    <w:right w:val="single" w:color="auto" w:sz="4" w:space="0"/>
                  </w:tcBorders>
                  <w:vAlign w:val="center"/>
                </w:tcPr>
                <w:p w14:paraId="60E681EE">
                  <w:pPr>
                    <w:pStyle w:val="4"/>
                    <w:jc w:val="center"/>
                    <w:rPr>
                      <w:lang w:bidi="ar"/>
                    </w:rPr>
                  </w:pPr>
                  <w:r>
                    <w:rPr>
                      <w:rFonts w:hint="eastAsia"/>
                      <w:lang w:bidi="ar"/>
                    </w:rPr>
                    <w:t>其他酒</w:t>
                  </w:r>
                </w:p>
              </w:tc>
              <w:tc>
                <w:tcPr>
                  <w:tcW w:w="1186" w:type="dxa"/>
                  <w:tcBorders>
                    <w:top w:val="single" w:color="auto" w:sz="4" w:space="0"/>
                    <w:left w:val="single" w:color="auto" w:sz="4" w:space="0"/>
                    <w:bottom w:val="single" w:color="auto" w:sz="4" w:space="0"/>
                    <w:right w:val="double" w:color="auto" w:sz="4" w:space="0"/>
                  </w:tcBorders>
                  <w:shd w:val="clear" w:color="auto" w:fill="auto"/>
                  <w:vAlign w:val="center"/>
                </w:tcPr>
                <w:p w14:paraId="712695EE">
                  <w:pPr>
                    <w:pStyle w:val="4"/>
                    <w:jc w:val="center"/>
                    <w:rPr>
                      <w:lang w:bidi="ar"/>
                    </w:rPr>
                  </w:pPr>
                  <w:r>
                    <w:rPr>
                      <w:lang w:bidi="ar"/>
                    </w:rPr>
                    <w:t>5</w:t>
                  </w:r>
                </w:p>
              </w:tc>
              <w:tc>
                <w:tcPr>
                  <w:tcW w:w="796" w:type="dxa"/>
                  <w:tcBorders>
                    <w:top w:val="single" w:color="auto" w:sz="4" w:space="0"/>
                    <w:left w:val="double" w:color="auto" w:sz="4" w:space="0"/>
                    <w:bottom w:val="single" w:color="auto" w:sz="4" w:space="0"/>
                    <w:right w:val="single" w:color="auto" w:sz="4" w:space="0"/>
                  </w:tcBorders>
                  <w:shd w:val="clear" w:color="auto" w:fill="auto"/>
                  <w:vAlign w:val="center"/>
                </w:tcPr>
                <w:p w14:paraId="79DD059A">
                  <w:pPr>
                    <w:pStyle w:val="4"/>
                    <w:jc w:val="center"/>
                    <w:rPr>
                      <w:lang w:bidi="ar"/>
                    </w:rPr>
                  </w:pPr>
                  <w:r>
                    <w:rPr>
                      <w:lang w:bidi="ar"/>
                    </w:rPr>
                    <w:t>17</w:t>
                  </w:r>
                </w:p>
              </w:tc>
              <w:tc>
                <w:tcPr>
                  <w:tcW w:w="1986" w:type="dxa"/>
                  <w:tcBorders>
                    <w:top w:val="single" w:color="auto" w:sz="4" w:space="0"/>
                    <w:left w:val="single" w:color="auto" w:sz="4" w:space="0"/>
                    <w:bottom w:val="single" w:color="auto" w:sz="4" w:space="0"/>
                    <w:right w:val="single" w:color="auto" w:sz="4" w:space="0"/>
                  </w:tcBorders>
                  <w:vAlign w:val="center"/>
                </w:tcPr>
                <w:p w14:paraId="386899C9">
                  <w:pPr>
                    <w:pStyle w:val="4"/>
                    <w:jc w:val="center"/>
                    <w:rPr>
                      <w:lang w:bidi="ar"/>
                    </w:rPr>
                  </w:pPr>
                  <w:r>
                    <w:rPr>
                      <w:rFonts w:hint="eastAsia"/>
                      <w:lang w:bidi="ar"/>
                    </w:rPr>
                    <w:t>乘用车</w:t>
                  </w:r>
                </w:p>
              </w:tc>
              <w:tc>
                <w:tcPr>
                  <w:tcW w:w="1126" w:type="dxa"/>
                  <w:tcBorders>
                    <w:top w:val="single" w:color="auto" w:sz="4" w:space="0"/>
                    <w:left w:val="single" w:color="auto" w:sz="4" w:space="0"/>
                    <w:bottom w:val="single" w:color="auto" w:sz="4" w:space="0"/>
                    <w:right w:val="nil"/>
                  </w:tcBorders>
                  <w:shd w:val="clear" w:color="auto" w:fill="auto"/>
                  <w:vAlign w:val="center"/>
                </w:tcPr>
                <w:p w14:paraId="77419B1E">
                  <w:pPr>
                    <w:pStyle w:val="4"/>
                    <w:jc w:val="center"/>
                    <w:rPr>
                      <w:lang w:bidi="ar"/>
                    </w:rPr>
                  </w:pPr>
                  <w:r>
                    <w:rPr>
                      <w:lang w:bidi="ar"/>
                    </w:rPr>
                    <w:t>8</w:t>
                  </w:r>
                </w:p>
              </w:tc>
            </w:tr>
            <w:tr w14:paraId="72669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9E7FA1C">
                  <w:pPr>
                    <w:pStyle w:val="4"/>
                    <w:jc w:val="center"/>
                    <w:rPr>
                      <w:lang w:bidi="ar"/>
                    </w:rPr>
                  </w:pPr>
                  <w:r>
                    <w:rPr>
                      <w:lang w:bidi="ar"/>
                    </w:rPr>
                    <w:t>8</w:t>
                  </w:r>
                </w:p>
              </w:tc>
              <w:tc>
                <w:tcPr>
                  <w:tcW w:w="1701" w:type="dxa"/>
                  <w:tcBorders>
                    <w:top w:val="single" w:color="auto" w:sz="4" w:space="0"/>
                    <w:left w:val="single" w:color="auto" w:sz="4" w:space="0"/>
                    <w:bottom w:val="single" w:color="auto" w:sz="4" w:space="0"/>
                    <w:right w:val="single" w:color="auto" w:sz="4" w:space="0"/>
                  </w:tcBorders>
                  <w:vAlign w:val="center"/>
                </w:tcPr>
                <w:p w14:paraId="24C68857">
                  <w:pPr>
                    <w:pStyle w:val="4"/>
                    <w:jc w:val="center"/>
                    <w:rPr>
                      <w:lang w:bidi="ar"/>
                    </w:rPr>
                  </w:pPr>
                  <w:r>
                    <w:rPr>
                      <w:rFonts w:hint="eastAsia"/>
                      <w:lang w:bidi="ar"/>
                    </w:rPr>
                    <w:t>高档化妆品</w:t>
                  </w:r>
                </w:p>
              </w:tc>
              <w:tc>
                <w:tcPr>
                  <w:tcW w:w="1186" w:type="dxa"/>
                  <w:tcBorders>
                    <w:top w:val="single" w:color="auto" w:sz="4" w:space="0"/>
                    <w:left w:val="single" w:color="auto" w:sz="4" w:space="0"/>
                    <w:bottom w:val="single" w:color="auto" w:sz="4" w:space="0"/>
                    <w:right w:val="double" w:color="auto" w:sz="4" w:space="0"/>
                  </w:tcBorders>
                  <w:shd w:val="clear" w:color="auto" w:fill="auto"/>
                  <w:vAlign w:val="center"/>
                </w:tcPr>
                <w:p w14:paraId="73091213">
                  <w:pPr>
                    <w:pStyle w:val="4"/>
                    <w:jc w:val="center"/>
                    <w:rPr>
                      <w:lang w:bidi="ar"/>
                    </w:rPr>
                  </w:pPr>
                  <w:r>
                    <w:rPr>
                      <w:lang w:bidi="ar"/>
                    </w:rPr>
                    <w:t>5</w:t>
                  </w:r>
                </w:p>
              </w:tc>
              <w:tc>
                <w:tcPr>
                  <w:tcW w:w="796" w:type="dxa"/>
                  <w:tcBorders>
                    <w:top w:val="single" w:color="auto" w:sz="4" w:space="0"/>
                    <w:left w:val="double" w:color="auto" w:sz="4" w:space="0"/>
                    <w:bottom w:val="single" w:color="auto" w:sz="4" w:space="0"/>
                    <w:right w:val="single" w:color="auto" w:sz="4" w:space="0"/>
                  </w:tcBorders>
                  <w:shd w:val="clear" w:color="auto" w:fill="auto"/>
                  <w:vAlign w:val="center"/>
                </w:tcPr>
                <w:p w14:paraId="4D8959E4">
                  <w:pPr>
                    <w:pStyle w:val="4"/>
                    <w:jc w:val="center"/>
                    <w:rPr>
                      <w:lang w:bidi="ar"/>
                    </w:rPr>
                  </w:pPr>
                  <w:r>
                    <w:rPr>
                      <w:lang w:bidi="ar"/>
                    </w:rPr>
                    <w:t>18</w:t>
                  </w:r>
                </w:p>
              </w:tc>
              <w:tc>
                <w:tcPr>
                  <w:tcW w:w="1986" w:type="dxa"/>
                  <w:tcBorders>
                    <w:top w:val="single" w:color="auto" w:sz="4" w:space="0"/>
                    <w:left w:val="single" w:color="auto" w:sz="4" w:space="0"/>
                    <w:bottom w:val="single" w:color="auto" w:sz="4" w:space="0"/>
                    <w:right w:val="single" w:color="auto" w:sz="4" w:space="0"/>
                  </w:tcBorders>
                  <w:vAlign w:val="center"/>
                </w:tcPr>
                <w:p w14:paraId="77C7C5B4">
                  <w:pPr>
                    <w:pStyle w:val="4"/>
                    <w:jc w:val="center"/>
                    <w:rPr>
                      <w:lang w:bidi="ar"/>
                    </w:rPr>
                  </w:pPr>
                  <w:r>
                    <w:rPr>
                      <w:rFonts w:hint="eastAsia"/>
                      <w:lang w:bidi="ar"/>
                    </w:rPr>
                    <w:t>中轻型商用客车</w:t>
                  </w:r>
                </w:p>
              </w:tc>
              <w:tc>
                <w:tcPr>
                  <w:tcW w:w="1126" w:type="dxa"/>
                  <w:tcBorders>
                    <w:top w:val="single" w:color="auto" w:sz="4" w:space="0"/>
                    <w:left w:val="single" w:color="auto" w:sz="4" w:space="0"/>
                    <w:bottom w:val="single" w:color="auto" w:sz="4" w:space="0"/>
                    <w:right w:val="nil"/>
                  </w:tcBorders>
                  <w:shd w:val="clear" w:color="auto" w:fill="auto"/>
                  <w:vAlign w:val="center"/>
                </w:tcPr>
                <w:p w14:paraId="1AB3B562">
                  <w:pPr>
                    <w:pStyle w:val="4"/>
                    <w:jc w:val="center"/>
                    <w:rPr>
                      <w:lang w:bidi="ar"/>
                    </w:rPr>
                  </w:pPr>
                  <w:r>
                    <w:rPr>
                      <w:lang w:bidi="ar"/>
                    </w:rPr>
                    <w:t>5</w:t>
                  </w:r>
                </w:p>
              </w:tc>
            </w:tr>
            <w:tr w14:paraId="43AF3D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24A2A37">
                  <w:pPr>
                    <w:pStyle w:val="4"/>
                    <w:jc w:val="center"/>
                    <w:rPr>
                      <w:lang w:bidi="ar"/>
                    </w:rPr>
                  </w:pPr>
                  <w:r>
                    <w:rPr>
                      <w:lang w:bidi="ar"/>
                    </w:rPr>
                    <w:t>9</w:t>
                  </w:r>
                </w:p>
              </w:tc>
              <w:tc>
                <w:tcPr>
                  <w:tcW w:w="1701" w:type="dxa"/>
                  <w:tcBorders>
                    <w:top w:val="single" w:color="auto" w:sz="4" w:space="0"/>
                    <w:left w:val="single" w:color="auto" w:sz="4" w:space="0"/>
                    <w:bottom w:val="single" w:color="auto" w:sz="4" w:space="0"/>
                    <w:right w:val="single" w:color="auto" w:sz="4" w:space="0"/>
                  </w:tcBorders>
                  <w:vAlign w:val="center"/>
                </w:tcPr>
                <w:p w14:paraId="7268A408">
                  <w:pPr>
                    <w:pStyle w:val="4"/>
                    <w:jc w:val="center"/>
                    <w:rPr>
                      <w:lang w:bidi="ar"/>
                    </w:rPr>
                  </w:pPr>
                  <w:r>
                    <w:rPr>
                      <w:rFonts w:hint="eastAsia"/>
                      <w:lang w:bidi="ar"/>
                    </w:rPr>
                    <w:t>鞭炮、焰火</w:t>
                  </w:r>
                </w:p>
              </w:tc>
              <w:tc>
                <w:tcPr>
                  <w:tcW w:w="1186" w:type="dxa"/>
                  <w:tcBorders>
                    <w:top w:val="single" w:color="auto" w:sz="4" w:space="0"/>
                    <w:left w:val="single" w:color="auto" w:sz="4" w:space="0"/>
                    <w:bottom w:val="single" w:color="auto" w:sz="4" w:space="0"/>
                    <w:right w:val="double" w:color="auto" w:sz="4" w:space="0"/>
                  </w:tcBorders>
                  <w:shd w:val="clear" w:color="auto" w:fill="auto"/>
                  <w:vAlign w:val="center"/>
                </w:tcPr>
                <w:p w14:paraId="0FC055F5">
                  <w:pPr>
                    <w:pStyle w:val="4"/>
                    <w:jc w:val="center"/>
                    <w:rPr>
                      <w:lang w:bidi="ar"/>
                    </w:rPr>
                  </w:pPr>
                  <w:r>
                    <w:rPr>
                      <w:lang w:bidi="ar"/>
                    </w:rPr>
                    <w:t>5</w:t>
                  </w:r>
                </w:p>
              </w:tc>
              <w:tc>
                <w:tcPr>
                  <w:tcW w:w="796" w:type="dxa"/>
                  <w:tcBorders>
                    <w:top w:val="single" w:color="auto" w:sz="4" w:space="0"/>
                    <w:left w:val="double" w:color="auto" w:sz="4" w:space="0"/>
                    <w:bottom w:val="single" w:color="auto" w:sz="4" w:space="0"/>
                    <w:right w:val="single" w:color="auto" w:sz="4" w:space="0"/>
                  </w:tcBorders>
                  <w:shd w:val="clear" w:color="auto" w:fill="auto"/>
                  <w:vAlign w:val="center"/>
                </w:tcPr>
                <w:p w14:paraId="00A772CE">
                  <w:pPr>
                    <w:pStyle w:val="4"/>
                    <w:jc w:val="center"/>
                    <w:rPr>
                      <w:lang w:bidi="ar"/>
                    </w:rPr>
                  </w:pPr>
                  <w:r>
                    <w:rPr>
                      <w:rFonts w:hint="eastAsia"/>
                      <w:lang w:bidi="ar"/>
                    </w:rPr>
                    <w:t>1</w:t>
                  </w:r>
                  <w:r>
                    <w:rPr>
                      <w:lang w:bidi="ar"/>
                    </w:rPr>
                    <w:t>9</w:t>
                  </w:r>
                </w:p>
              </w:tc>
              <w:tc>
                <w:tcPr>
                  <w:tcW w:w="1986" w:type="dxa"/>
                  <w:tcBorders>
                    <w:top w:val="single" w:color="auto" w:sz="4" w:space="0"/>
                    <w:left w:val="single" w:color="auto" w:sz="4" w:space="0"/>
                    <w:bottom w:val="single" w:color="auto" w:sz="4" w:space="0"/>
                    <w:right w:val="single" w:color="auto" w:sz="4" w:space="0"/>
                  </w:tcBorders>
                  <w:vAlign w:val="center"/>
                </w:tcPr>
                <w:p w14:paraId="3F5728DD">
                  <w:pPr>
                    <w:pStyle w:val="4"/>
                    <w:jc w:val="center"/>
                    <w:rPr>
                      <w:lang w:bidi="ar"/>
                    </w:rPr>
                  </w:pPr>
                  <w:r>
                    <w:rPr>
                      <w:rFonts w:hint="eastAsia"/>
                      <w:lang w:bidi="ar"/>
                    </w:rPr>
                    <w:t>电池</w:t>
                  </w:r>
                </w:p>
              </w:tc>
              <w:tc>
                <w:tcPr>
                  <w:tcW w:w="1126" w:type="dxa"/>
                  <w:tcBorders>
                    <w:top w:val="single" w:color="auto" w:sz="4" w:space="0"/>
                    <w:left w:val="single" w:color="auto" w:sz="4" w:space="0"/>
                    <w:bottom w:val="single" w:color="auto" w:sz="4" w:space="0"/>
                    <w:right w:val="nil"/>
                  </w:tcBorders>
                  <w:shd w:val="clear" w:color="auto" w:fill="auto"/>
                  <w:vAlign w:val="center"/>
                </w:tcPr>
                <w:p w14:paraId="33FA2FE6">
                  <w:pPr>
                    <w:pStyle w:val="4"/>
                    <w:jc w:val="center"/>
                    <w:rPr>
                      <w:lang w:bidi="ar"/>
                    </w:rPr>
                  </w:pPr>
                  <w:r>
                    <w:rPr>
                      <w:rFonts w:hint="eastAsia"/>
                      <w:lang w:bidi="ar"/>
                    </w:rPr>
                    <w:t>4</w:t>
                  </w:r>
                </w:p>
              </w:tc>
            </w:tr>
            <w:tr w14:paraId="28242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2A7EBB0">
                  <w:pPr>
                    <w:pStyle w:val="4"/>
                    <w:jc w:val="center"/>
                    <w:rPr>
                      <w:lang w:bidi="ar"/>
                    </w:rPr>
                  </w:pPr>
                  <w:r>
                    <w:rPr>
                      <w:lang w:bidi="ar"/>
                    </w:rPr>
                    <w:t>10</w:t>
                  </w:r>
                </w:p>
              </w:tc>
              <w:tc>
                <w:tcPr>
                  <w:tcW w:w="1701" w:type="dxa"/>
                  <w:tcBorders>
                    <w:top w:val="single" w:color="auto" w:sz="4" w:space="0"/>
                    <w:left w:val="single" w:color="auto" w:sz="4" w:space="0"/>
                    <w:bottom w:val="single" w:color="auto" w:sz="4" w:space="0"/>
                    <w:right w:val="single" w:color="auto" w:sz="4" w:space="0"/>
                  </w:tcBorders>
                  <w:vAlign w:val="center"/>
                </w:tcPr>
                <w:p w14:paraId="06FEDA8D">
                  <w:pPr>
                    <w:pStyle w:val="4"/>
                    <w:jc w:val="center"/>
                    <w:rPr>
                      <w:lang w:bidi="ar"/>
                    </w:rPr>
                  </w:pPr>
                  <w:r>
                    <w:rPr>
                      <w:rFonts w:hint="eastAsia"/>
                      <w:lang w:bidi="ar"/>
                    </w:rPr>
                    <w:t>贵重首饰及珠宝玉石</w:t>
                  </w:r>
                </w:p>
              </w:tc>
              <w:tc>
                <w:tcPr>
                  <w:tcW w:w="1186" w:type="dxa"/>
                  <w:tcBorders>
                    <w:top w:val="single" w:color="auto" w:sz="4" w:space="0"/>
                    <w:left w:val="single" w:color="auto" w:sz="4" w:space="0"/>
                    <w:bottom w:val="single" w:color="auto" w:sz="4" w:space="0"/>
                    <w:right w:val="double" w:color="auto" w:sz="4" w:space="0"/>
                  </w:tcBorders>
                  <w:shd w:val="clear" w:color="auto" w:fill="auto"/>
                  <w:vAlign w:val="center"/>
                </w:tcPr>
                <w:p w14:paraId="34FF1D5E">
                  <w:pPr>
                    <w:pStyle w:val="4"/>
                    <w:jc w:val="center"/>
                    <w:rPr>
                      <w:lang w:bidi="ar"/>
                    </w:rPr>
                  </w:pPr>
                  <w:r>
                    <w:rPr>
                      <w:lang w:bidi="ar"/>
                    </w:rPr>
                    <w:t>6</w:t>
                  </w:r>
                </w:p>
              </w:tc>
              <w:tc>
                <w:tcPr>
                  <w:tcW w:w="796" w:type="dxa"/>
                  <w:tcBorders>
                    <w:top w:val="single" w:color="auto" w:sz="4" w:space="0"/>
                    <w:left w:val="double" w:color="auto" w:sz="4" w:space="0"/>
                    <w:bottom w:val="single" w:color="auto" w:sz="4" w:space="0"/>
                    <w:right w:val="single" w:color="auto" w:sz="4" w:space="0"/>
                  </w:tcBorders>
                  <w:shd w:val="clear" w:color="auto" w:fill="auto"/>
                  <w:vAlign w:val="center"/>
                </w:tcPr>
                <w:p w14:paraId="2F5A98DC">
                  <w:pPr>
                    <w:pStyle w:val="4"/>
                    <w:jc w:val="center"/>
                    <w:rPr>
                      <w:lang w:bidi="ar"/>
                    </w:rPr>
                  </w:pPr>
                  <w:r>
                    <w:rPr>
                      <w:lang w:bidi="ar"/>
                    </w:rPr>
                    <w:t>20</w:t>
                  </w:r>
                </w:p>
              </w:tc>
              <w:tc>
                <w:tcPr>
                  <w:tcW w:w="1986" w:type="dxa"/>
                  <w:tcBorders>
                    <w:top w:val="single" w:color="auto" w:sz="4" w:space="0"/>
                    <w:left w:val="single" w:color="auto" w:sz="4" w:space="0"/>
                    <w:bottom w:val="single" w:color="auto" w:sz="4" w:space="0"/>
                    <w:right w:val="single" w:color="auto" w:sz="4" w:space="0"/>
                  </w:tcBorders>
                  <w:vAlign w:val="center"/>
                </w:tcPr>
                <w:p w14:paraId="73A4EA98">
                  <w:pPr>
                    <w:pStyle w:val="4"/>
                    <w:jc w:val="center"/>
                    <w:rPr>
                      <w:lang w:bidi="ar"/>
                    </w:rPr>
                  </w:pPr>
                  <w:r>
                    <w:rPr>
                      <w:rFonts w:hint="eastAsia"/>
                      <w:lang w:bidi="ar"/>
                    </w:rPr>
                    <w:t>涂料</w:t>
                  </w:r>
                </w:p>
              </w:tc>
              <w:tc>
                <w:tcPr>
                  <w:tcW w:w="1126" w:type="dxa"/>
                  <w:tcBorders>
                    <w:top w:val="single" w:color="auto" w:sz="4" w:space="0"/>
                    <w:left w:val="single" w:color="auto" w:sz="4" w:space="0"/>
                    <w:bottom w:val="single" w:color="auto" w:sz="4" w:space="0"/>
                    <w:right w:val="nil"/>
                  </w:tcBorders>
                  <w:shd w:val="clear" w:color="auto" w:fill="auto"/>
                  <w:vAlign w:val="center"/>
                </w:tcPr>
                <w:p w14:paraId="2614C908">
                  <w:pPr>
                    <w:pStyle w:val="4"/>
                    <w:jc w:val="center"/>
                    <w:rPr>
                      <w:lang w:bidi="ar"/>
                    </w:rPr>
                  </w:pPr>
                  <w:r>
                    <w:rPr>
                      <w:rFonts w:hint="eastAsia"/>
                      <w:lang w:bidi="ar"/>
                    </w:rPr>
                    <w:t>7</w:t>
                  </w:r>
                </w:p>
              </w:tc>
            </w:tr>
          </w:tbl>
          <w:p w14:paraId="783FF37B">
            <w:pPr>
              <w:pStyle w:val="4"/>
              <w:ind w:firstLine="360" w:firstLineChars="200"/>
              <w:rPr>
                <w:lang w:bidi="ar"/>
              </w:rPr>
            </w:pPr>
            <w:r>
              <w:rPr>
                <w:rFonts w:hint="eastAsia"/>
                <w:lang w:bidi="ar"/>
              </w:rPr>
              <w:t>3．自产自用应税消费品应纳税额的计算</w:t>
            </w:r>
          </w:p>
          <w:p w14:paraId="22BB528D">
            <w:pPr>
              <w:pStyle w:val="4"/>
              <w:ind w:firstLine="360" w:firstLineChars="200"/>
              <w:rPr>
                <w:lang w:bidi="ar"/>
              </w:rPr>
            </w:pPr>
            <w:r>
              <w:rPr>
                <w:rFonts w:hint="eastAsia"/>
                <w:lang w:bidi="ar"/>
              </w:rPr>
              <w:t>（1）实行从价定率方法计算纳税的，应纳税额的计算公式如下：</w:t>
            </w:r>
          </w:p>
          <w:p w14:paraId="368AE4FE">
            <w:pPr>
              <w:pStyle w:val="4"/>
              <w:ind w:firstLine="360" w:firstLineChars="200"/>
              <w:jc w:val="center"/>
              <w:rPr>
                <w:lang w:bidi="ar"/>
              </w:rPr>
            </w:pPr>
            <w:r>
              <w:rPr>
                <w:rFonts w:hint="eastAsia"/>
                <w:lang w:bidi="ar"/>
              </w:rPr>
              <w:t>应纳税额=同类应税消费品销售额或组成计税价格×比例税率</w:t>
            </w:r>
          </w:p>
          <w:p w14:paraId="7ED92555">
            <w:pPr>
              <w:pStyle w:val="4"/>
              <w:ind w:firstLine="360" w:firstLineChars="200"/>
              <w:rPr>
                <w:lang w:bidi="ar"/>
              </w:rPr>
            </w:pPr>
            <w:r>
              <w:rPr>
                <w:rFonts w:hint="eastAsia"/>
                <w:lang w:bidi="ar"/>
              </w:rPr>
              <w:t>（2）实行从量定额方法计算纳税的，应纳税额的计算公式如下：</w:t>
            </w:r>
          </w:p>
          <w:p w14:paraId="6180630D">
            <w:pPr>
              <w:pStyle w:val="4"/>
              <w:ind w:firstLine="360" w:firstLineChars="200"/>
              <w:jc w:val="center"/>
              <w:rPr>
                <w:b/>
                <w:lang w:bidi="ar"/>
              </w:rPr>
            </w:pPr>
            <w:r>
              <w:rPr>
                <w:rFonts w:hint="eastAsia"/>
                <w:lang w:bidi="ar"/>
              </w:rPr>
              <w:t>应纳税额=自产自用数量×定额税率</w:t>
            </w:r>
          </w:p>
          <w:p w14:paraId="35072A3C">
            <w:pPr>
              <w:pStyle w:val="4"/>
              <w:ind w:firstLine="360" w:firstLineChars="200"/>
              <w:rPr>
                <w:lang w:bidi="ar"/>
              </w:rPr>
            </w:pPr>
            <w:r>
              <w:rPr>
                <w:rFonts w:hint="eastAsia"/>
                <w:lang w:bidi="ar"/>
              </w:rPr>
              <w:t>（3）实行复合计税方法计算纳税的，应纳税额的计算公式如下：</w:t>
            </w:r>
          </w:p>
          <w:p w14:paraId="43BB0612">
            <w:pPr>
              <w:pStyle w:val="4"/>
              <w:ind w:firstLine="360" w:firstLineChars="200"/>
              <w:jc w:val="center"/>
              <w:rPr>
                <w:b/>
                <w:lang w:bidi="ar"/>
              </w:rPr>
            </w:pPr>
            <w:r>
              <w:rPr>
                <w:rFonts w:hint="eastAsia"/>
                <w:b/>
                <w:lang w:bidi="ar"/>
              </w:rPr>
              <w:t>应纳税额=同类应税消费品销售额或组成计税价格×比例税率+自产自用数量×定额税率</w:t>
            </w:r>
          </w:p>
          <w:p w14:paraId="45743756">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自产自用应税消费品应纳税额的计算方法</w:t>
            </w:r>
          </w:p>
          <w:p w14:paraId="176502B5">
            <w:pPr>
              <w:shd w:val="clear" w:color="auto" w:fill="FDF3ED"/>
              <w:ind w:firstLine="402" w:firstLineChars="200"/>
              <w:rPr>
                <w:rFonts w:ascii="Times New Roman" w:hAnsi="Times New Roman" w:eastAsia="微软雅黑"/>
                <w:sz w:val="18"/>
              </w:rPr>
            </w:pPr>
            <w:r>
              <w:rPr>
                <w:rFonts w:hint="eastAsia"/>
                <w:b/>
              </w:rPr>
              <w:t>【例</w:t>
            </w:r>
            <w:r>
              <w:rPr>
                <w:rFonts w:hint="eastAsia"/>
                <w:b/>
                <w:lang w:val="en-US" w:eastAsia="zh-CN"/>
              </w:rPr>
              <w:t>3</w:t>
            </w:r>
            <w:r>
              <w:rPr>
                <w:b/>
              </w:rPr>
              <w:t>-</w:t>
            </w:r>
            <w:r>
              <w:rPr>
                <w:rFonts w:hint="eastAsia"/>
                <w:b/>
                <w:lang w:val="en-US" w:eastAsia="zh-CN"/>
              </w:rPr>
              <w:t>2</w:t>
            </w:r>
            <w:r>
              <w:rPr>
                <w:rFonts w:hint="eastAsia"/>
                <w:b/>
              </w:rPr>
              <w:t>】</w:t>
            </w:r>
            <w:r>
              <w:rPr>
                <w:rFonts w:hint="eastAsia" w:ascii="Times New Roman" w:hAnsi="Times New Roman" w:eastAsia="微软雅黑"/>
                <w:sz w:val="18"/>
              </w:rPr>
              <w:t xml:space="preserve">某化妆品公司将一批自产的高档化妆品用作职工福利。已知该批高档化妆品的成本为8 000元，无同类产品市场销售价格，其成本利润率为5%。请计算该批高档化妆品应缴纳的消费税税额。 </w:t>
            </w:r>
          </w:p>
          <w:p w14:paraId="1F073133">
            <w:pPr>
              <w:pStyle w:val="4"/>
              <w:shd w:val="clear" w:color="auto" w:fill="FDF3ED"/>
              <w:ind w:firstLine="360" w:firstLineChars="200"/>
              <w:rPr>
                <w:b/>
              </w:rPr>
            </w:pPr>
            <w:r>
              <w:rPr>
                <w:rFonts w:hint="eastAsia"/>
                <w:b/>
              </w:rPr>
              <w:t>【解析】</w:t>
            </w:r>
          </w:p>
          <w:p w14:paraId="294B0249">
            <w:pPr>
              <w:pStyle w:val="4"/>
              <w:shd w:val="clear" w:color="auto" w:fill="FDF3ED"/>
              <w:ind w:firstLine="360" w:firstLineChars="200"/>
            </w:pPr>
            <w:r>
              <w:rPr>
                <w:rFonts w:hint="eastAsia"/>
              </w:rPr>
              <w:t>组成计税价格</w:t>
            </w:r>
            <w:r>
              <w:t>=8 000×</w:t>
            </w:r>
            <w:r>
              <w:rPr>
                <w:rFonts w:hint="eastAsia"/>
              </w:rPr>
              <w:t>（</w:t>
            </w:r>
            <w:r>
              <w:t>1+5%</w:t>
            </w:r>
            <w:r>
              <w:rPr>
                <w:rFonts w:hint="eastAsia"/>
              </w:rPr>
              <w:t>）÷（</w:t>
            </w:r>
            <w:r>
              <w:t>1−15%</w:t>
            </w:r>
            <w:r>
              <w:rPr>
                <w:rFonts w:hint="eastAsia"/>
              </w:rPr>
              <w:t>）</w:t>
            </w:r>
            <w:r>
              <w:t>=9 882.35</w:t>
            </w:r>
            <w:r>
              <w:rPr>
                <w:rFonts w:hint="eastAsia"/>
              </w:rPr>
              <w:t>元</w:t>
            </w:r>
          </w:p>
          <w:p w14:paraId="0377D92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应缴纳的消费税税额=9 882.35×15%=1 482.35元</w:t>
            </w:r>
          </w:p>
          <w:p w14:paraId="2959152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06298EC7">
            <w:pPr>
              <w:pStyle w:val="4"/>
              <w:ind w:firstLine="360" w:firstLineChars="200"/>
              <w:rPr>
                <w:b/>
                <w:lang w:bidi="ar"/>
              </w:rPr>
            </w:pPr>
            <w:r>
              <w:rPr>
                <w:rFonts w:hint="eastAsia"/>
                <w:b/>
                <w:lang w:bidi="ar"/>
              </w:rPr>
              <w:t>二、委托加工环节应纳税额的计算</w:t>
            </w:r>
          </w:p>
          <w:p w14:paraId="18B4D97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【教师】讲解消费税中委托加工环节应纳税额的计算</w:t>
            </w:r>
          </w:p>
          <w:p w14:paraId="2AE65F2C">
            <w:pPr>
              <w:pStyle w:val="4"/>
              <w:ind w:firstLine="360" w:firstLineChars="200"/>
              <w:rPr>
                <w:b/>
                <w:lang w:bidi="ar"/>
              </w:rPr>
            </w:pPr>
            <w:r>
              <w:rPr>
                <w:rFonts w:hint="eastAsia"/>
                <w:b/>
                <w:lang w:bidi="ar"/>
              </w:rPr>
              <w:t>（一）委托加工应税消费品的确定</w:t>
            </w:r>
          </w:p>
          <w:p w14:paraId="030EB284">
            <w:pPr>
              <w:pStyle w:val="4"/>
              <w:ind w:firstLine="360" w:firstLineChars="200"/>
              <w:rPr>
                <w:lang w:bidi="ar"/>
              </w:rPr>
            </w:pPr>
            <w:r>
              <w:rPr>
                <w:rFonts w:hint="eastAsia"/>
                <w:lang w:bidi="ar"/>
              </w:rPr>
              <w:t>委托加工应税消费品是指由委托方提供主要材料，受托方只收取加工费和代垫部分辅助材料加工的应税消费品。对于由受托方提供原材料生产的应税消费品，或者受托方先将原材料卖给委托方，然后再接受委托加工的应税消费品，以及由受托方以委托方名义购进原材料生产的应税消费品，不论在会计上是否做销售处理，都不得作为委托加工应税消费品，而应当按照销售自产的应税消费品缴纳消费税。</w:t>
            </w:r>
          </w:p>
          <w:p w14:paraId="6EF3550A">
            <w:pPr>
              <w:pStyle w:val="4"/>
              <w:ind w:firstLine="360" w:firstLineChars="200"/>
              <w:rPr>
                <w:b/>
                <w:lang w:bidi="ar"/>
              </w:rPr>
            </w:pPr>
            <w:r>
              <w:rPr>
                <w:rFonts w:hint="eastAsia"/>
                <w:b/>
                <w:lang w:bidi="ar"/>
              </w:rPr>
              <w:t>（二）委托加工应税消费品计税依据的确定</w:t>
            </w:r>
          </w:p>
          <w:p w14:paraId="7532A327">
            <w:pPr>
              <w:pStyle w:val="4"/>
              <w:ind w:firstLine="360" w:firstLineChars="200"/>
              <w:rPr>
                <w:lang w:bidi="ar"/>
              </w:rPr>
            </w:pPr>
            <w:r>
              <w:rPr>
                <w:rFonts w:hint="eastAsia"/>
                <w:lang w:bidi="ar"/>
              </w:rPr>
              <w:t>委托加工的应税消费品，按照受托方生产的同类消费品的销售价格计算纳税。同类消费品的销售价格是指受托方当月销售的同类消费品的销售价格。如果当月同类消费品各期销售价格高低不同，应按加权平均销售价格计算纳税。但销售的应税消费品有下列情况之一的，不得列入加权平均计算：① 销售价格明显偏低又无正当理由的；② 无销售价格的。</w:t>
            </w:r>
          </w:p>
          <w:p w14:paraId="25C9A7DC">
            <w:pPr>
              <w:pStyle w:val="4"/>
              <w:ind w:firstLine="360" w:firstLineChars="200"/>
              <w:rPr>
                <w:lang w:bidi="ar"/>
              </w:rPr>
            </w:pPr>
            <w:r>
              <w:rPr>
                <w:rFonts w:hint="eastAsia"/>
                <w:lang w:bidi="ar"/>
              </w:rPr>
              <w:t>如果当月无销售或者当月未完结，应按照同类消费品上月或最近月份的销售价格计算纳税。没有同类消费品销售价格的，按照组成计税价格计算纳税。</w:t>
            </w:r>
          </w:p>
          <w:p w14:paraId="7097D9E9">
            <w:pPr>
              <w:pStyle w:val="4"/>
              <w:ind w:firstLine="360" w:firstLineChars="200"/>
              <w:rPr>
                <w:lang w:bidi="ar"/>
              </w:rPr>
            </w:pPr>
            <w:r>
              <w:rPr>
                <w:rFonts w:hint="eastAsia"/>
                <w:lang w:bidi="ar"/>
              </w:rPr>
              <w:t>实行从价定率方法计算纳税的，组成计税价格的计算公式如下：</w:t>
            </w:r>
          </w:p>
          <w:p w14:paraId="3F0C1E6E">
            <w:pPr>
              <w:pStyle w:val="4"/>
              <w:ind w:firstLine="360" w:firstLineChars="200"/>
              <w:jc w:val="center"/>
              <w:rPr>
                <w:lang w:bidi="ar"/>
              </w:rPr>
            </w:pPr>
            <w:r>
              <w:rPr>
                <w:rFonts w:hint="eastAsia"/>
                <w:lang w:bidi="ar"/>
              </w:rPr>
              <w:t>组成计税价格</w:t>
            </w:r>
            <w:r>
              <w:rPr>
                <w:lang w:bidi="ar"/>
              </w:rPr>
              <w:t>=</w:t>
            </w:r>
            <w:r>
              <w:rPr>
                <w:rFonts w:hint="eastAsia"/>
                <w:lang w:bidi="ar"/>
              </w:rPr>
              <w:t>（材料成本</w:t>
            </w:r>
            <w:r>
              <w:rPr>
                <w:lang w:bidi="ar"/>
              </w:rPr>
              <w:t>+</w:t>
            </w:r>
            <w:r>
              <w:rPr>
                <w:rFonts w:hint="eastAsia"/>
                <w:lang w:bidi="ar"/>
              </w:rPr>
              <w:t>加工费）÷（</w:t>
            </w:r>
            <w:r>
              <w:rPr>
                <w:lang w:bidi="ar"/>
              </w:rPr>
              <w:t>1−</w:t>
            </w:r>
            <w:r>
              <w:rPr>
                <w:rFonts w:hint="eastAsia"/>
                <w:lang w:bidi="ar"/>
              </w:rPr>
              <w:t>比例税率）</w:t>
            </w:r>
          </w:p>
          <w:p w14:paraId="2DCF32D6">
            <w:pPr>
              <w:pStyle w:val="4"/>
              <w:ind w:firstLine="360" w:firstLineChars="200"/>
              <w:rPr>
                <w:lang w:bidi="ar"/>
              </w:rPr>
            </w:pPr>
            <w:r>
              <w:rPr>
                <w:rFonts w:hint="eastAsia"/>
                <w:lang w:bidi="ar"/>
              </w:rPr>
              <w:t>实行复合计税方法计算纳税的，组成计税价格的计算公式如下：</w:t>
            </w:r>
          </w:p>
          <w:p w14:paraId="7370E20B">
            <w:pPr>
              <w:pStyle w:val="4"/>
              <w:ind w:firstLine="360" w:firstLineChars="200"/>
              <w:jc w:val="center"/>
              <w:rPr>
                <w:lang w:bidi="ar"/>
              </w:rPr>
            </w:pPr>
            <w:r>
              <w:rPr>
                <w:rFonts w:hint="eastAsia"/>
                <w:lang w:bidi="ar"/>
              </w:rPr>
              <w:t>组成计税价格</w:t>
            </w:r>
            <w:r>
              <w:rPr>
                <w:lang w:bidi="ar"/>
              </w:rPr>
              <w:t>=</w:t>
            </w:r>
            <w:r>
              <w:rPr>
                <w:rFonts w:hint="eastAsia"/>
                <w:lang w:bidi="ar"/>
              </w:rPr>
              <w:t>（材料成本</w:t>
            </w:r>
            <w:r>
              <w:rPr>
                <w:lang w:bidi="ar"/>
              </w:rPr>
              <w:t>+</w:t>
            </w:r>
            <w:r>
              <w:rPr>
                <w:rFonts w:hint="eastAsia"/>
                <w:lang w:bidi="ar"/>
              </w:rPr>
              <w:t>加工费</w:t>
            </w:r>
            <w:r>
              <w:rPr>
                <w:lang w:bidi="ar"/>
              </w:rPr>
              <w:t>+</w:t>
            </w:r>
            <w:r>
              <w:rPr>
                <w:rFonts w:hint="eastAsia"/>
                <w:lang w:bidi="ar"/>
              </w:rPr>
              <w:t>委托加工数量×定额税率）÷（</w:t>
            </w:r>
            <w:r>
              <w:rPr>
                <w:lang w:bidi="ar"/>
              </w:rPr>
              <w:t>1−</w:t>
            </w:r>
            <w:r>
              <w:rPr>
                <w:rFonts w:hint="eastAsia"/>
                <w:lang w:bidi="ar"/>
              </w:rPr>
              <w:t>比例税率）</w:t>
            </w:r>
          </w:p>
          <w:p w14:paraId="38C10F2C">
            <w:pPr>
              <w:pStyle w:val="4"/>
              <w:ind w:firstLine="360" w:firstLineChars="200"/>
              <w:rPr>
                <w:lang w:bidi="ar"/>
              </w:rPr>
            </w:pPr>
            <w:r>
              <w:rPr>
                <w:rFonts w:hint="eastAsia"/>
                <w:lang w:bidi="ar"/>
              </w:rPr>
              <w:t>其中，材料成本是指委托方提供的加工材料的实际成本。加工费是指受托方向委托方收取的全部费用（包括代垫辅助材料的实际成本，但不包括增值税税额）。</w:t>
            </w:r>
          </w:p>
          <w:p w14:paraId="5FA327DB">
            <w:pPr>
              <w:pStyle w:val="4"/>
              <w:shd w:val="clear" w:color="auto" w:fill="FDF3ED"/>
              <w:ind w:firstLine="360" w:firstLineChars="200"/>
              <w:rPr>
                <w:rFonts w:ascii="MS Mincho" w:hAnsi="MS Mincho" w:cs="MS Mincho"/>
                <w:b/>
              </w:rPr>
            </w:pPr>
            <w:r>
              <w:rPr>
                <w:rFonts w:hint="eastAsia"/>
                <w:b/>
              </w:rPr>
              <w:t>【课堂互动】</w:t>
            </w:r>
          </w:p>
          <w:p w14:paraId="50B92537">
            <w:pPr>
              <w:pStyle w:val="4"/>
              <w:shd w:val="clear" w:color="auto" w:fill="FDF3ED"/>
              <w:ind w:firstLine="360" w:firstLineChars="200"/>
              <w:rPr>
                <w:b/>
              </w:rPr>
            </w:pPr>
            <w:r>
              <w:rPr>
                <w:rFonts w:ascii="MS Mincho" w:hAnsi="MS Mincho" w:cs="MS Mincho"/>
                <w:b/>
              </w:rPr>
              <w:t>✈</w:t>
            </w:r>
            <w:r>
              <w:rPr>
                <w:rFonts w:hint="eastAsia"/>
                <w:b/>
              </w:rPr>
              <w:t>【教师】提出问题</w:t>
            </w:r>
          </w:p>
          <w:p w14:paraId="2AEE5205">
            <w:pPr>
              <w:pStyle w:val="4"/>
              <w:shd w:val="clear" w:color="auto" w:fill="FDF3ED"/>
              <w:ind w:firstLine="360" w:firstLineChars="200"/>
            </w:pPr>
            <w:r>
              <w:rPr>
                <w:rFonts w:hint="eastAsia"/>
              </w:rPr>
              <w:t>委托加工的材料成本如何得知</w:t>
            </w:r>
            <w:r>
              <w:t>？</w:t>
            </w:r>
          </w:p>
          <w:p w14:paraId="31AAFAE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B297D2D">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FA4137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委托加工应税消费品的纳税人必须在委托加工合同上如实注明（或以其他方式提供）材料成本。凡未提供材料成本的，受托方所在地主管税务机关有权核定其材料成本。</w:t>
            </w:r>
          </w:p>
          <w:p w14:paraId="757B877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73FBD7E">
            <w:pPr>
              <w:pStyle w:val="4"/>
              <w:ind w:firstLine="360" w:firstLineChars="200"/>
              <w:rPr>
                <w:b/>
                <w:lang w:bidi="ar"/>
              </w:rPr>
            </w:pPr>
            <w:r>
              <w:rPr>
                <w:rFonts w:hint="eastAsia"/>
                <w:b/>
                <w:lang w:bidi="ar"/>
              </w:rPr>
              <w:t>（三）委托加工应税消费品应纳税额的计算</w:t>
            </w:r>
          </w:p>
          <w:p w14:paraId="506DCC38">
            <w:pPr>
              <w:pStyle w:val="4"/>
              <w:ind w:firstLine="360" w:firstLineChars="200"/>
              <w:rPr>
                <w:lang w:bidi="ar"/>
              </w:rPr>
            </w:pPr>
            <w:r>
              <w:rPr>
                <w:rFonts w:hint="eastAsia"/>
                <w:lang w:bidi="ar"/>
              </w:rPr>
              <w:t>（1）实行从价定率方法计算纳税的，应纳税额的计算公式如下：</w:t>
            </w:r>
          </w:p>
          <w:p w14:paraId="77797BD7">
            <w:pPr>
              <w:pStyle w:val="4"/>
              <w:ind w:firstLine="360" w:firstLineChars="200"/>
              <w:jc w:val="center"/>
              <w:rPr>
                <w:lang w:bidi="ar"/>
              </w:rPr>
            </w:pPr>
            <w:r>
              <w:rPr>
                <w:rFonts w:hint="eastAsia"/>
                <w:lang w:bidi="ar"/>
              </w:rPr>
              <w:t>应纳税额=同类应税消费品销售额或组成计税价格×比例税率</w:t>
            </w:r>
          </w:p>
          <w:p w14:paraId="23DEFCAB">
            <w:pPr>
              <w:pStyle w:val="4"/>
              <w:ind w:firstLine="360" w:firstLineChars="200"/>
              <w:rPr>
                <w:lang w:bidi="ar"/>
              </w:rPr>
            </w:pPr>
            <w:r>
              <w:rPr>
                <w:rFonts w:hint="eastAsia"/>
                <w:lang w:bidi="ar"/>
              </w:rPr>
              <w:t>（2）实行从量定额方法计算纳税的，应纳税额的计算公式如下：</w:t>
            </w:r>
          </w:p>
          <w:p w14:paraId="20A2D11D">
            <w:pPr>
              <w:pStyle w:val="4"/>
              <w:ind w:firstLine="360" w:firstLineChars="200"/>
              <w:jc w:val="center"/>
              <w:rPr>
                <w:lang w:bidi="ar"/>
              </w:rPr>
            </w:pPr>
            <w:r>
              <w:rPr>
                <w:rFonts w:hint="eastAsia"/>
                <w:lang w:bidi="ar"/>
              </w:rPr>
              <w:t>应纳税额=委托加工数量×定额税率</w:t>
            </w:r>
          </w:p>
          <w:p w14:paraId="71C3C385">
            <w:pPr>
              <w:pStyle w:val="4"/>
              <w:ind w:firstLine="360" w:firstLineChars="200"/>
              <w:rPr>
                <w:lang w:bidi="ar"/>
              </w:rPr>
            </w:pPr>
            <w:r>
              <w:rPr>
                <w:rFonts w:hint="eastAsia"/>
                <w:lang w:bidi="ar"/>
              </w:rPr>
              <w:t>（3）实行复合计税方法计算纳税的，应纳税额的计算公式如下：</w:t>
            </w:r>
          </w:p>
          <w:p w14:paraId="1F7E9A86">
            <w:pPr>
              <w:pStyle w:val="4"/>
              <w:ind w:firstLine="360" w:firstLineChars="200"/>
              <w:jc w:val="center"/>
              <w:rPr>
                <w:lang w:bidi="ar"/>
              </w:rPr>
            </w:pPr>
            <w:r>
              <w:rPr>
                <w:rFonts w:hint="eastAsia"/>
                <w:lang w:bidi="ar"/>
              </w:rPr>
              <w:t>应纳税额=同类应税消费品销售额或组成计税价格×比例税率+委托加工数量×定额税率</w:t>
            </w:r>
          </w:p>
          <w:p w14:paraId="59A9C9E7">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委托加工应税消费品应纳税额的计算方法</w:t>
            </w:r>
          </w:p>
          <w:p w14:paraId="2F5CFA58">
            <w:pPr>
              <w:shd w:val="clear" w:color="auto" w:fill="FDF3ED"/>
              <w:ind w:firstLine="360" w:firstLineChars="200"/>
              <w:rPr>
                <w:rFonts w:ascii="Times New Roman" w:hAnsi="Times New Roman" w:eastAsia="微软雅黑"/>
                <w:b/>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sz w:val="18"/>
                <w:lang w:val="en-US" w:eastAsia="zh-CN"/>
              </w:rPr>
              <w:t>1</w:t>
            </w:r>
            <w:r>
              <w:rPr>
                <w:rFonts w:hint="eastAsia" w:ascii="Times New Roman" w:hAnsi="Times New Roman" w:eastAsia="微软雅黑"/>
                <w:sz w:val="18"/>
              </w:rPr>
              <w:t>月，某鞭炮企业受托为甲企业加工一批鞭炮，收取甲企业不含增值税加工费4万元，该批鞭炮无同类产品市场销售价格。已知甲企业提供的原材料成本为30万元，鞭炮适用的消费税税率为15%。请计算该鞭炮企业应代收代缴的消费税税额。</w:t>
            </w:r>
          </w:p>
          <w:p w14:paraId="53B764EC">
            <w:pPr>
              <w:pStyle w:val="4"/>
              <w:shd w:val="clear" w:color="auto" w:fill="FDF3ED"/>
              <w:ind w:firstLine="360" w:firstLineChars="200"/>
              <w:rPr>
                <w:b/>
              </w:rPr>
            </w:pPr>
            <w:r>
              <w:rPr>
                <w:rFonts w:hint="eastAsia"/>
                <w:b/>
              </w:rPr>
              <w:t>【解析】</w:t>
            </w:r>
          </w:p>
          <w:p w14:paraId="7239AFE3">
            <w:pPr>
              <w:pStyle w:val="4"/>
              <w:shd w:val="clear" w:color="auto" w:fill="FDF3ED"/>
              <w:ind w:firstLine="360" w:firstLineChars="200"/>
            </w:pPr>
            <w:r>
              <w:rPr>
                <w:rFonts w:hint="eastAsia"/>
              </w:rPr>
              <w:t>组成计税价格</w:t>
            </w:r>
            <w:r>
              <w:t>=</w:t>
            </w:r>
            <w:r>
              <w:rPr>
                <w:rFonts w:hint="eastAsia"/>
              </w:rPr>
              <w:t>（</w:t>
            </w:r>
            <w:r>
              <w:t>30+4</w:t>
            </w:r>
            <w:r>
              <w:rPr>
                <w:rFonts w:hint="eastAsia"/>
              </w:rPr>
              <w:t>）÷（</w:t>
            </w:r>
            <w:r>
              <w:t>1−15%</w:t>
            </w:r>
            <w:r>
              <w:rPr>
                <w:rFonts w:hint="eastAsia"/>
              </w:rPr>
              <w:t>）</w:t>
            </w:r>
            <w:r>
              <w:t>=40</w:t>
            </w:r>
            <w:r>
              <w:rPr>
                <w:rFonts w:hint="eastAsia"/>
              </w:rPr>
              <w:t>万元</w:t>
            </w:r>
          </w:p>
          <w:p w14:paraId="7AEB195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应代收代缴的消费税税额=40×15%=6万元</w:t>
            </w:r>
          </w:p>
          <w:p w14:paraId="4D26644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2606FCCC">
            <w:pPr>
              <w:pStyle w:val="4"/>
              <w:ind w:firstLine="360" w:firstLineChars="200"/>
              <w:rPr>
                <w:b/>
                <w:lang w:bidi="ar"/>
              </w:rPr>
            </w:pPr>
            <w:r>
              <w:rPr>
                <w:rFonts w:hint="eastAsia"/>
                <w:b/>
                <w:lang w:bidi="ar"/>
              </w:rPr>
              <w:t>三、进口环节应纳税额的计算</w:t>
            </w:r>
          </w:p>
          <w:p w14:paraId="689BBE3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【教师】讲解消费税中进口环节应纳税额的计算</w:t>
            </w:r>
          </w:p>
          <w:p w14:paraId="12F679CF">
            <w:pPr>
              <w:pStyle w:val="4"/>
              <w:ind w:firstLine="360" w:firstLineChars="200"/>
              <w:rPr>
                <w:lang w:bidi="ar"/>
              </w:rPr>
            </w:pPr>
            <w:r>
              <w:rPr>
                <w:rFonts w:hint="eastAsia"/>
                <w:lang w:bidi="ar"/>
              </w:rPr>
              <w:t>纳税人进口应税消费品，按照组成计税价格和规定的税率计算应纳税额。</w:t>
            </w:r>
          </w:p>
          <w:p w14:paraId="77AC4741">
            <w:pPr>
              <w:pStyle w:val="4"/>
              <w:ind w:firstLine="360" w:firstLineChars="200"/>
              <w:rPr>
                <w:lang w:bidi="ar"/>
              </w:rPr>
            </w:pPr>
            <w:r>
              <w:rPr>
                <w:rFonts w:hint="eastAsia"/>
                <w:lang w:bidi="ar"/>
              </w:rPr>
              <w:t>（1）实行从价定率方法计算纳税的，应纳税额的计算公式如下：</w:t>
            </w:r>
          </w:p>
          <w:p w14:paraId="0058A637">
            <w:pPr>
              <w:pStyle w:val="4"/>
              <w:ind w:firstLine="360" w:firstLineChars="200"/>
              <w:jc w:val="center"/>
              <w:rPr>
                <w:lang w:bidi="ar"/>
              </w:rPr>
            </w:pPr>
            <w:r>
              <w:rPr>
                <w:rFonts w:hint="eastAsia"/>
                <w:lang w:bidi="ar"/>
              </w:rPr>
              <w:t>应纳税额=组成计税价格×比例税率</w:t>
            </w:r>
          </w:p>
          <w:p w14:paraId="68597A0E">
            <w:pPr>
              <w:pStyle w:val="4"/>
              <w:ind w:firstLine="360" w:firstLineChars="200"/>
              <w:rPr>
                <w:lang w:bidi="ar"/>
              </w:rPr>
            </w:pPr>
            <w:r>
              <w:rPr>
                <w:rFonts w:hint="eastAsia"/>
                <w:lang w:bidi="ar"/>
              </w:rPr>
              <w:t>式中，组成计税价格的计算公式如下：</w:t>
            </w:r>
          </w:p>
          <w:p w14:paraId="2AC9A350">
            <w:pPr>
              <w:pStyle w:val="4"/>
              <w:ind w:firstLine="360" w:firstLineChars="200"/>
              <w:jc w:val="center"/>
              <w:rPr>
                <w:lang w:bidi="ar"/>
              </w:rPr>
            </w:pPr>
            <w:r>
              <w:rPr>
                <w:rFonts w:hint="eastAsia"/>
                <w:lang w:bidi="ar"/>
              </w:rPr>
              <w:t>组成计税价格</w:t>
            </w:r>
            <w:r>
              <w:rPr>
                <w:lang w:bidi="ar"/>
              </w:rPr>
              <w:t>=</w:t>
            </w:r>
            <w:r>
              <w:rPr>
                <w:rFonts w:hint="eastAsia"/>
                <w:lang w:bidi="ar"/>
              </w:rPr>
              <w:t>（关税完税价格</w:t>
            </w:r>
            <w:r>
              <w:rPr>
                <w:lang w:bidi="ar"/>
              </w:rPr>
              <w:t>+</w:t>
            </w:r>
            <w:r>
              <w:rPr>
                <w:rFonts w:hint="eastAsia"/>
                <w:lang w:bidi="ar"/>
              </w:rPr>
              <w:t>关税）÷（</w:t>
            </w:r>
            <w:r>
              <w:rPr>
                <w:lang w:bidi="ar"/>
              </w:rPr>
              <w:t>1−</w:t>
            </w:r>
            <w:r>
              <w:rPr>
                <w:rFonts w:hint="eastAsia"/>
                <w:lang w:bidi="ar"/>
              </w:rPr>
              <w:t>比例税率）</w:t>
            </w:r>
          </w:p>
          <w:p w14:paraId="14B7AD59">
            <w:pPr>
              <w:pStyle w:val="4"/>
              <w:ind w:firstLine="360" w:firstLineChars="200"/>
              <w:rPr>
                <w:lang w:bidi="ar"/>
              </w:rPr>
            </w:pPr>
            <w:r>
              <w:rPr>
                <w:rFonts w:hint="eastAsia"/>
                <w:lang w:bidi="ar"/>
              </w:rPr>
              <w:t>（2）实行从量定额方法计算纳税的，应纳税额的计算公式如下：</w:t>
            </w:r>
          </w:p>
          <w:p w14:paraId="5915C722">
            <w:pPr>
              <w:pStyle w:val="4"/>
              <w:ind w:firstLine="360" w:firstLineChars="200"/>
              <w:jc w:val="center"/>
              <w:rPr>
                <w:lang w:bidi="ar"/>
              </w:rPr>
            </w:pPr>
            <w:r>
              <w:rPr>
                <w:rFonts w:hint="eastAsia"/>
                <w:lang w:bidi="ar"/>
              </w:rPr>
              <w:t>应纳税额=进口数量×定额税率</w:t>
            </w:r>
          </w:p>
          <w:p w14:paraId="70033FC8">
            <w:pPr>
              <w:pStyle w:val="4"/>
              <w:ind w:firstLine="360" w:firstLineChars="200"/>
              <w:rPr>
                <w:lang w:bidi="ar"/>
              </w:rPr>
            </w:pPr>
            <w:r>
              <w:rPr>
                <w:rFonts w:hint="eastAsia"/>
                <w:lang w:bidi="ar"/>
              </w:rPr>
              <w:t>其中，进口数量是指海关核定的应税消费品的进口数量（下同）。</w:t>
            </w:r>
          </w:p>
          <w:p w14:paraId="3A731F59">
            <w:pPr>
              <w:pStyle w:val="4"/>
              <w:ind w:firstLine="360" w:firstLineChars="200"/>
              <w:rPr>
                <w:lang w:bidi="ar"/>
              </w:rPr>
            </w:pPr>
            <w:r>
              <w:rPr>
                <w:rFonts w:hint="eastAsia"/>
                <w:lang w:bidi="ar"/>
              </w:rPr>
              <w:t>（3）实行复合计税方法计算纳税的，应纳税额的计算公式如下：</w:t>
            </w:r>
          </w:p>
          <w:p w14:paraId="41A73A9F">
            <w:pPr>
              <w:pStyle w:val="4"/>
              <w:ind w:firstLine="360" w:firstLineChars="200"/>
              <w:jc w:val="center"/>
              <w:rPr>
                <w:lang w:bidi="ar"/>
              </w:rPr>
            </w:pPr>
            <w:r>
              <w:rPr>
                <w:rFonts w:hint="eastAsia"/>
                <w:lang w:bidi="ar"/>
              </w:rPr>
              <w:t>应纳税额=组成计税价格×比例税率+进口数量×定额税率</w:t>
            </w:r>
          </w:p>
          <w:p w14:paraId="39C64BE1">
            <w:pPr>
              <w:pStyle w:val="4"/>
              <w:ind w:firstLine="360" w:firstLineChars="200"/>
              <w:rPr>
                <w:lang w:bidi="ar"/>
              </w:rPr>
            </w:pPr>
            <w:r>
              <w:rPr>
                <w:rFonts w:hint="eastAsia"/>
                <w:lang w:bidi="ar"/>
              </w:rPr>
              <w:t>式中，组成计税价格的计算公式如下：</w:t>
            </w:r>
          </w:p>
          <w:p w14:paraId="53AD9229">
            <w:pPr>
              <w:pStyle w:val="4"/>
              <w:ind w:firstLine="360" w:firstLineChars="200"/>
              <w:jc w:val="center"/>
              <w:rPr>
                <w:lang w:bidi="ar"/>
              </w:rPr>
            </w:pPr>
            <w:r>
              <w:rPr>
                <w:rFonts w:hint="eastAsia"/>
                <w:lang w:bidi="ar"/>
              </w:rPr>
              <w:t>组成计税价格</w:t>
            </w:r>
            <w:r>
              <w:rPr>
                <w:lang w:bidi="ar"/>
              </w:rPr>
              <w:t>=</w:t>
            </w:r>
            <w:r>
              <w:rPr>
                <w:rFonts w:hint="eastAsia"/>
                <w:lang w:bidi="ar"/>
              </w:rPr>
              <w:t>（关税完税价格</w:t>
            </w:r>
            <w:r>
              <w:rPr>
                <w:lang w:bidi="ar"/>
              </w:rPr>
              <w:t>+</w:t>
            </w:r>
            <w:r>
              <w:rPr>
                <w:rFonts w:hint="eastAsia"/>
                <w:lang w:bidi="ar"/>
              </w:rPr>
              <w:t>关税</w:t>
            </w:r>
            <w:r>
              <w:rPr>
                <w:lang w:bidi="ar"/>
              </w:rPr>
              <w:t>+</w:t>
            </w:r>
            <w:r>
              <w:rPr>
                <w:rFonts w:hint="eastAsia"/>
                <w:lang w:bidi="ar"/>
              </w:rPr>
              <w:t>进口数量×定额税率）÷（</w:t>
            </w:r>
            <w:r>
              <w:rPr>
                <w:lang w:bidi="ar"/>
              </w:rPr>
              <w:t>1−</w:t>
            </w:r>
            <w:r>
              <w:rPr>
                <w:rFonts w:hint="eastAsia"/>
                <w:lang w:bidi="ar"/>
              </w:rPr>
              <w:t>比例税率）</w:t>
            </w:r>
          </w:p>
          <w:p w14:paraId="7CC6FD09">
            <w:pPr>
              <w:pStyle w:val="4"/>
              <w:shd w:val="clear" w:color="auto" w:fill="FDF3ED"/>
              <w:ind w:firstLine="360" w:firstLineChars="200"/>
              <w:rPr>
                <w:rFonts w:ascii="MS Mincho" w:hAnsi="MS Mincho" w:cs="MS Mincho"/>
                <w:b/>
              </w:rPr>
            </w:pPr>
            <w:r>
              <w:rPr>
                <w:rFonts w:hint="eastAsia"/>
                <w:b/>
              </w:rPr>
              <w:t>【课堂练习】</w:t>
            </w:r>
          </w:p>
          <w:p w14:paraId="4B1E1368">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进口环节应纳税额的计算方法</w:t>
            </w:r>
          </w:p>
          <w:p w14:paraId="18345FAE">
            <w:pPr>
              <w:shd w:val="clear" w:color="auto" w:fill="FDF3ED"/>
              <w:ind w:firstLine="360" w:firstLineChars="200"/>
              <w:rPr>
                <w:rFonts w:ascii="Times New Roman" w:hAnsi="Times New Roman" w:eastAsia="微软雅黑"/>
                <w:b/>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b/>
                <w:sz w:val="18"/>
                <w:lang w:val="en-US" w:eastAsia="zh-CN"/>
              </w:rPr>
              <w:t>4</w:t>
            </w:r>
            <w:r>
              <w:rPr>
                <w:rFonts w:hint="eastAsia" w:ascii="Times New Roman" w:hAnsi="Times New Roman" w:eastAsia="微软雅黑"/>
                <w:b/>
                <w:sz w:val="18"/>
              </w:rPr>
              <w:t>】</w:t>
            </w:r>
            <w:r>
              <w:rPr>
                <w:rFonts w:hint="eastAsia" w:ascii="Times New Roman" w:hAnsi="Times New Roman" w:eastAsia="微软雅黑"/>
                <w:sz w:val="18"/>
                <w:lang w:val="en-US" w:eastAsia="zh-CN"/>
              </w:rPr>
              <w:t>1</w:t>
            </w:r>
            <w:r>
              <w:rPr>
                <w:rFonts w:hint="eastAsia" w:ascii="Times New Roman" w:hAnsi="Times New Roman" w:eastAsia="微软雅黑"/>
                <w:sz w:val="18"/>
              </w:rPr>
              <w:t>月，丰利公司从国外进口一批应税消费品，按规定缴纳36万元关税。已知该批应税消费品的关税完税价格为180万元，适用的消费税税率为10%。请计算该批消费品在进口环节应缴纳的消费税税额。</w:t>
            </w:r>
          </w:p>
          <w:p w14:paraId="264F49E1">
            <w:pPr>
              <w:pStyle w:val="4"/>
              <w:shd w:val="clear" w:color="auto" w:fill="FDF3ED"/>
              <w:ind w:firstLine="360" w:firstLineChars="200"/>
              <w:rPr>
                <w:b/>
              </w:rPr>
            </w:pPr>
            <w:r>
              <w:rPr>
                <w:rFonts w:hint="eastAsia"/>
                <w:b/>
              </w:rPr>
              <w:t>【解析】</w:t>
            </w:r>
          </w:p>
          <w:p w14:paraId="74E4014D">
            <w:pPr>
              <w:pStyle w:val="4"/>
              <w:shd w:val="clear" w:color="auto" w:fill="FDF3ED"/>
              <w:ind w:firstLine="360" w:firstLineChars="200"/>
            </w:pPr>
            <w:r>
              <w:rPr>
                <w:rFonts w:hint="eastAsia"/>
              </w:rPr>
              <w:t>组成计税价格</w:t>
            </w:r>
            <w:r>
              <w:t>=</w:t>
            </w:r>
            <w:r>
              <w:rPr>
                <w:rFonts w:hint="eastAsia"/>
              </w:rPr>
              <w:t>（</w:t>
            </w:r>
            <w:r>
              <w:t>180+36</w:t>
            </w:r>
            <w:r>
              <w:rPr>
                <w:rFonts w:hint="eastAsia"/>
              </w:rPr>
              <w:t>）÷（</w:t>
            </w:r>
            <w:r>
              <w:t>1−10%</w:t>
            </w:r>
            <w:r>
              <w:rPr>
                <w:rFonts w:hint="eastAsia"/>
              </w:rPr>
              <w:t>）</w:t>
            </w:r>
            <w:r>
              <w:t>=240</w:t>
            </w:r>
            <w:r>
              <w:rPr>
                <w:rFonts w:hint="eastAsia"/>
              </w:rPr>
              <w:t>万元</w:t>
            </w:r>
          </w:p>
          <w:p w14:paraId="7DB521D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应缴纳的消费税税额=240×10%=24万元</w:t>
            </w:r>
          </w:p>
          <w:p w14:paraId="5CF8F71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2A7736E8">
            <w:pPr>
              <w:pStyle w:val="4"/>
              <w:ind w:firstLine="360" w:firstLineChars="200"/>
              <w:rPr>
                <w:b/>
                <w:lang w:bidi="ar"/>
              </w:rPr>
            </w:pPr>
            <w:r>
              <w:rPr>
                <w:rFonts w:hint="eastAsia"/>
                <w:b/>
                <w:lang w:bidi="ar"/>
              </w:rPr>
              <w:t>四、特殊环节应纳税额的计算</w:t>
            </w:r>
          </w:p>
          <w:p w14:paraId="3B8B590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【教师】讲解消费税中特殊环节应纳税额的计算</w:t>
            </w:r>
          </w:p>
          <w:p w14:paraId="75084F6F">
            <w:pPr>
              <w:pStyle w:val="4"/>
              <w:ind w:firstLine="360" w:firstLineChars="200"/>
              <w:rPr>
                <w:b/>
                <w:lang w:bidi="ar"/>
              </w:rPr>
            </w:pPr>
            <w:r>
              <w:rPr>
                <w:rFonts w:hint="eastAsia"/>
                <w:b/>
                <w:lang w:bidi="ar"/>
              </w:rPr>
              <w:t>（一）批发环节应纳税额的计算</w:t>
            </w:r>
          </w:p>
          <w:p w14:paraId="1F39614B">
            <w:pPr>
              <w:pStyle w:val="4"/>
              <w:ind w:firstLine="360" w:firstLineChars="200"/>
              <w:rPr>
                <w:lang w:bidi="ar"/>
              </w:rPr>
            </w:pPr>
            <w:r>
              <w:rPr>
                <w:rFonts w:hint="eastAsia"/>
                <w:lang w:bidi="ar"/>
              </w:rPr>
              <w:t>批发环节的应税消费品特指卷烟、电子烟。自2015年5月10日起，在我国境内从事卷烟批发业务的所有单位和个人，应就其批发销售的所有牌号、规格的卷烟，按11%的比例税率、0.005元/支的定额税率双重计征消费税。《财政部 海关总署 税务总局关于对电子烟征收消费税的公告》规定，电子烟批发环节的消费税税率为11%。</w:t>
            </w:r>
          </w:p>
          <w:p w14:paraId="10EB1B71">
            <w:pPr>
              <w:pStyle w:val="4"/>
              <w:shd w:val="clear" w:color="auto" w:fill="FDF3ED"/>
              <w:ind w:firstLine="360" w:firstLineChars="200"/>
              <w:rPr>
                <w:rFonts w:ascii="MS Mincho" w:hAnsi="MS Mincho" w:cs="MS Mincho"/>
                <w:b/>
              </w:rPr>
            </w:pPr>
            <w:r>
              <w:rPr>
                <w:rFonts w:hint="eastAsia"/>
                <w:b/>
              </w:rPr>
              <w:t>【课堂互动】</w:t>
            </w:r>
          </w:p>
          <w:p w14:paraId="5B79A655">
            <w:pPr>
              <w:pStyle w:val="4"/>
              <w:shd w:val="clear" w:color="auto" w:fill="FDF3ED"/>
              <w:ind w:firstLine="360" w:firstLineChars="200"/>
              <w:rPr>
                <w:b/>
              </w:rPr>
            </w:pPr>
            <w:r>
              <w:rPr>
                <w:rFonts w:ascii="MS Mincho" w:hAnsi="MS Mincho" w:cs="MS Mincho"/>
                <w:b/>
              </w:rPr>
              <w:t>✈</w:t>
            </w:r>
            <w:r>
              <w:rPr>
                <w:rFonts w:hint="eastAsia"/>
                <w:b/>
              </w:rPr>
              <w:t>【教师】提出问题</w:t>
            </w:r>
          </w:p>
          <w:p w14:paraId="7306130E">
            <w:pPr>
              <w:pStyle w:val="4"/>
              <w:shd w:val="clear" w:color="auto" w:fill="FDF3ED"/>
              <w:ind w:firstLine="360" w:firstLineChars="200"/>
            </w:pPr>
            <w:r>
              <w:rPr>
                <w:rFonts w:hint="eastAsia"/>
              </w:rPr>
              <w:t>电子烟批发环节消费税纳税人是指什么</w:t>
            </w:r>
            <w:r>
              <w:t>？</w:t>
            </w:r>
          </w:p>
          <w:p w14:paraId="2F76908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C4F6832">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AEB4B8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电子烟批发环节消费税纳税人是指取得烟草专卖批发企业许可证并经营电子烟批发业务的企业。</w:t>
            </w:r>
          </w:p>
          <w:p w14:paraId="67F3F07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70F8E63">
            <w:pPr>
              <w:pStyle w:val="4"/>
              <w:ind w:firstLine="360" w:firstLineChars="200"/>
              <w:rPr>
                <w:lang w:bidi="ar"/>
              </w:rPr>
            </w:pPr>
            <w:r>
              <w:rPr>
                <w:rFonts w:hint="eastAsia"/>
                <w:lang w:bidi="ar"/>
              </w:rPr>
              <w:t>计算批发环节卷烟消费税时，以下几点需要注意。</w:t>
            </w:r>
          </w:p>
          <w:p w14:paraId="2CD37151">
            <w:pPr>
              <w:pStyle w:val="4"/>
              <w:ind w:firstLine="360" w:firstLineChars="200"/>
              <w:rPr>
                <w:lang w:bidi="ar"/>
              </w:rPr>
            </w:pPr>
            <w:r>
              <w:rPr>
                <w:rFonts w:hint="eastAsia"/>
                <w:lang w:bidi="ar"/>
              </w:rPr>
              <w:t>（1）纳税人应将卷烟销售额与其他产品销售额分开核算，未分开核算的，一并征收消费税。</w:t>
            </w:r>
          </w:p>
          <w:p w14:paraId="174E553F">
            <w:pPr>
              <w:pStyle w:val="4"/>
              <w:ind w:firstLine="360" w:firstLineChars="200"/>
              <w:rPr>
                <w:lang w:bidi="ar"/>
              </w:rPr>
            </w:pPr>
            <w:r>
              <w:rPr>
                <w:rFonts w:hint="eastAsia"/>
                <w:lang w:bidi="ar"/>
              </w:rPr>
              <w:t>（2）卷烟批发企业之间销售的卷烟不缴纳消费税，只有将卷烟销售给零售商等其他单位和个人时才缴纳消费税。</w:t>
            </w:r>
          </w:p>
          <w:p w14:paraId="36972613">
            <w:pPr>
              <w:pStyle w:val="4"/>
              <w:ind w:firstLine="360" w:firstLineChars="200"/>
              <w:rPr>
                <w:lang w:bidi="ar"/>
              </w:rPr>
            </w:pPr>
            <w:r>
              <w:rPr>
                <w:rFonts w:hint="eastAsia"/>
                <w:lang w:bidi="ar"/>
              </w:rPr>
              <w:t>（3）卷烟批发企业在计算卷烟消费税时不得扣除卷烟生产环节已缴纳的消费税税额。</w:t>
            </w:r>
          </w:p>
          <w:p w14:paraId="15BAADD0">
            <w:pPr>
              <w:pStyle w:val="4"/>
              <w:ind w:firstLine="360" w:firstLineChars="200"/>
              <w:rPr>
                <w:b/>
                <w:lang w:bidi="ar"/>
              </w:rPr>
            </w:pPr>
            <w:r>
              <w:rPr>
                <w:rFonts w:hint="eastAsia"/>
                <w:b/>
                <w:lang w:bidi="ar"/>
              </w:rPr>
              <w:t>（二）零售环节应纳税额的计算</w:t>
            </w:r>
          </w:p>
          <w:p w14:paraId="7DAAC3FA">
            <w:pPr>
              <w:pStyle w:val="4"/>
              <w:ind w:firstLine="360" w:firstLineChars="200"/>
              <w:rPr>
                <w:lang w:bidi="ar"/>
              </w:rPr>
            </w:pPr>
            <w:r>
              <w:rPr>
                <w:rFonts w:hint="eastAsia"/>
                <w:lang w:bidi="ar"/>
              </w:rPr>
              <w:t>1．金银首饰、铂金首饰、钻石及钻石饰品零售环节应纳税额的计算</w:t>
            </w:r>
          </w:p>
          <w:p w14:paraId="4220DBB2">
            <w:pPr>
              <w:pStyle w:val="4"/>
              <w:ind w:firstLine="360" w:firstLineChars="200"/>
              <w:rPr>
                <w:lang w:bidi="ar"/>
              </w:rPr>
            </w:pPr>
            <w:r>
              <w:rPr>
                <w:rFonts w:hint="eastAsia"/>
                <w:lang w:bidi="ar"/>
              </w:rPr>
              <w:t>金银首饰、铂金首饰、钻石及钻石饰品在零售环节按5%的比例税率计征消费税。应纳税额的计算公式如下：</w:t>
            </w:r>
          </w:p>
          <w:p w14:paraId="0FD16E0E">
            <w:pPr>
              <w:pStyle w:val="4"/>
              <w:ind w:firstLine="360" w:firstLineChars="200"/>
              <w:jc w:val="center"/>
              <w:rPr>
                <w:lang w:bidi="ar"/>
              </w:rPr>
            </w:pPr>
            <w:r>
              <w:rPr>
                <w:rFonts w:hint="eastAsia"/>
                <w:lang w:bidi="ar"/>
              </w:rPr>
              <w:t>应纳税额=零售环节销售额（不含增值税）×5%</w:t>
            </w:r>
          </w:p>
          <w:p w14:paraId="46B5DD70">
            <w:pPr>
              <w:pStyle w:val="4"/>
              <w:ind w:firstLine="360" w:firstLineChars="200"/>
              <w:rPr>
                <w:lang w:bidi="ar"/>
              </w:rPr>
            </w:pPr>
            <w:r>
              <w:rPr>
                <w:rFonts w:hint="eastAsia"/>
                <w:lang w:bidi="ar"/>
              </w:rPr>
              <w:t>既销售金银首饰，又销售非金银首饰的生产、经营单位，应将两类产品划分清楚，分别核算销售额。凡划分不清楚或不能分别核算销售额的，若在生产环节销售，一律从高适用税率征收消费税；若在零售环节销售，一律按金银首饰征收消费税。金银首饰与其他产品组成成套消费品销售的，应按销售额全额征收消费税。</w:t>
            </w:r>
          </w:p>
          <w:p w14:paraId="6DEEB575">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零售环节应纳税额的计算方法</w:t>
            </w:r>
          </w:p>
          <w:p w14:paraId="3BC05F90">
            <w:pPr>
              <w:shd w:val="clear" w:color="auto" w:fill="FDF3ED"/>
              <w:ind w:firstLine="402" w:firstLineChars="200"/>
              <w:rPr>
                <w:rFonts w:ascii="Times New Roman" w:hAnsi="Times New Roman" w:eastAsia="微软雅黑"/>
                <w:sz w:val="18"/>
              </w:rPr>
            </w:pPr>
            <w:r>
              <w:rPr>
                <w:rFonts w:hint="eastAsia"/>
                <w:b/>
              </w:rPr>
              <w:t>【例</w:t>
            </w:r>
            <w:r>
              <w:rPr>
                <w:rFonts w:hint="eastAsia"/>
                <w:b/>
                <w:lang w:val="en-US" w:eastAsia="zh-CN"/>
              </w:rPr>
              <w:t>3</w:t>
            </w:r>
            <w:r>
              <w:rPr>
                <w:b/>
              </w:rPr>
              <w:t>-</w:t>
            </w:r>
            <w:r>
              <w:rPr>
                <w:rFonts w:hint="eastAsia"/>
                <w:b/>
                <w:lang w:val="en-US" w:eastAsia="zh-CN"/>
              </w:rPr>
              <w:t>5</w:t>
            </w:r>
            <w:r>
              <w:rPr>
                <w:rFonts w:hint="eastAsia"/>
                <w:b/>
              </w:rPr>
              <w:t>】</w:t>
            </w:r>
            <w:r>
              <w:rPr>
                <w:rFonts w:hint="eastAsia" w:ascii="Times New Roman" w:hAnsi="Times New Roman" w:eastAsia="微软雅黑"/>
                <w:sz w:val="18"/>
              </w:rPr>
              <w:t>某珠宝店（一般纳税人）是一家经批准有权经营金银首饰的珠宝零售店。2023年</w:t>
            </w:r>
            <w:r>
              <w:rPr>
                <w:rFonts w:hint="eastAsia" w:ascii="Times New Roman" w:hAnsi="Times New Roman" w:eastAsia="微软雅黑"/>
                <w:sz w:val="18"/>
                <w:lang w:val="en-US" w:eastAsia="zh-CN"/>
              </w:rPr>
              <w:t>1</w:t>
            </w:r>
            <w:r>
              <w:rPr>
                <w:rFonts w:hint="eastAsia" w:ascii="Times New Roman" w:hAnsi="Times New Roman" w:eastAsia="微软雅黑"/>
                <w:sz w:val="18"/>
              </w:rPr>
              <w:t>月，该珠宝店零售额（含增值税，下同）共计269 200元。其中，金银首饰零售额为125 410元，钻石及钻石饰品零售额为100 590元，其他首饰零售额为43 200元。请计算该珠宝店8月应缴纳的消费税税额。</w:t>
            </w:r>
          </w:p>
          <w:p w14:paraId="3F9E3178">
            <w:pPr>
              <w:pStyle w:val="4"/>
              <w:shd w:val="clear" w:color="auto" w:fill="FDF3ED"/>
              <w:ind w:firstLine="360" w:firstLineChars="200"/>
              <w:rPr>
                <w:b/>
              </w:rPr>
            </w:pPr>
            <w:r>
              <w:rPr>
                <w:rFonts w:hint="eastAsia"/>
                <w:b/>
              </w:rPr>
              <w:t>【解析】</w:t>
            </w:r>
          </w:p>
          <w:p w14:paraId="74DE5389">
            <w:pPr>
              <w:pStyle w:val="4"/>
              <w:shd w:val="clear" w:color="auto" w:fill="FDF3ED"/>
              <w:ind w:firstLine="360" w:firstLineChars="200"/>
            </w:pPr>
            <w:r>
              <w:rPr>
                <w:rFonts w:hint="eastAsia"/>
              </w:rPr>
              <w:t>金银首饰、钻石及钻石饰品在零售环节缴纳消费税，其他首饰在生产、委托加工或进口环节缴纳消费税。</w:t>
            </w:r>
          </w:p>
          <w:p w14:paraId="5E30D5E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应缴纳的消费税税额=（125 410+100 590）÷（1+13%）×5%=10 000元</w:t>
            </w:r>
          </w:p>
          <w:p w14:paraId="390F500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3B8960EB">
            <w:pPr>
              <w:pStyle w:val="4"/>
              <w:ind w:firstLine="360" w:firstLineChars="200"/>
              <w:rPr>
                <w:lang w:bidi="ar"/>
              </w:rPr>
            </w:pPr>
            <w:r>
              <w:rPr>
                <w:rFonts w:hint="eastAsia"/>
                <w:lang w:bidi="ar"/>
              </w:rPr>
              <w:t>2．超豪华小汽车零售环节应纳税额的计算</w:t>
            </w:r>
          </w:p>
          <w:p w14:paraId="059A43AA">
            <w:pPr>
              <w:pStyle w:val="4"/>
              <w:ind w:firstLine="360" w:firstLineChars="200"/>
              <w:rPr>
                <w:lang w:bidi="ar"/>
              </w:rPr>
            </w:pPr>
            <w:r>
              <w:rPr>
                <w:rFonts w:hint="eastAsia"/>
                <w:lang w:bidi="ar"/>
              </w:rPr>
              <w:t>超豪华小汽车不仅在生产（进口）环节按现行税率征收消费税，还在零售环节加征消费税（零售环节税率为10%）。应纳税额的计算公式如下：</w:t>
            </w:r>
          </w:p>
          <w:p w14:paraId="5F54CF01">
            <w:pPr>
              <w:pStyle w:val="4"/>
              <w:ind w:firstLine="360" w:firstLineChars="200"/>
              <w:jc w:val="center"/>
              <w:rPr>
                <w:lang w:bidi="ar"/>
              </w:rPr>
            </w:pPr>
            <w:r>
              <w:rPr>
                <w:rFonts w:hint="eastAsia"/>
                <w:lang w:bidi="ar"/>
              </w:rPr>
              <w:t>应纳税额=零售环节销售额（不含增值税）×10%</w:t>
            </w:r>
          </w:p>
          <w:p w14:paraId="05144331">
            <w:pPr>
              <w:pStyle w:val="4"/>
              <w:ind w:firstLine="360" w:firstLineChars="200"/>
              <w:rPr>
                <w:lang w:bidi="ar"/>
              </w:rPr>
            </w:pPr>
            <w:r>
              <w:rPr>
                <w:rFonts w:hint="eastAsia"/>
                <w:lang w:bidi="ar"/>
              </w:rPr>
              <w:t>对于国内汽车生产企业直接将超豪华小汽车销售给消费者的，消费税税率按照生产环节税率和零售环节税率加总计算。应纳税额的计算公式如下：</w:t>
            </w:r>
          </w:p>
          <w:p w14:paraId="13EA51D3">
            <w:pPr>
              <w:pStyle w:val="4"/>
              <w:ind w:firstLine="360" w:firstLineChars="200"/>
              <w:jc w:val="center"/>
              <w:rPr>
                <w:lang w:bidi="ar"/>
              </w:rPr>
            </w:pPr>
            <w:r>
              <w:rPr>
                <w:rFonts w:hint="eastAsia"/>
                <w:lang w:bidi="ar"/>
              </w:rPr>
              <w:t>应纳税额=销售额（不含增值税）×（生产环节税率+10%）</w:t>
            </w:r>
          </w:p>
          <w:p w14:paraId="5F6F6F2A">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超豪华小汽车零售环节应纳税额的计算方法</w:t>
            </w:r>
          </w:p>
          <w:p w14:paraId="69D0F941">
            <w:pPr>
              <w:shd w:val="clear" w:color="auto" w:fill="FDF3ED"/>
              <w:ind w:firstLine="402" w:firstLineChars="200"/>
              <w:rPr>
                <w:rFonts w:ascii="Times New Roman" w:hAnsi="Times New Roman" w:eastAsia="微软雅黑"/>
                <w:sz w:val="18"/>
              </w:rPr>
            </w:pPr>
            <w:r>
              <w:rPr>
                <w:rFonts w:hint="eastAsia"/>
                <w:b/>
              </w:rPr>
              <w:t>【例</w:t>
            </w:r>
            <w:r>
              <w:rPr>
                <w:rFonts w:hint="eastAsia"/>
                <w:b/>
                <w:lang w:val="en-US" w:eastAsia="zh-CN"/>
              </w:rPr>
              <w:t>3</w:t>
            </w:r>
            <w:r>
              <w:rPr>
                <w:b/>
              </w:rPr>
              <w:t>-</w:t>
            </w:r>
            <w:r>
              <w:rPr>
                <w:rFonts w:hint="eastAsia"/>
                <w:b/>
                <w:lang w:val="en-US" w:eastAsia="zh-CN"/>
              </w:rPr>
              <w:t>6</w:t>
            </w:r>
            <w:r>
              <w:rPr>
                <w:rFonts w:hint="eastAsia"/>
                <w:b/>
              </w:rPr>
              <w:t>】</w:t>
            </w:r>
            <w:r>
              <w:rPr>
                <w:rFonts w:hint="eastAsia" w:ascii="Times New Roman" w:hAnsi="Times New Roman" w:eastAsia="微软雅黑"/>
                <w:sz w:val="18"/>
                <w:lang w:val="en-US" w:eastAsia="zh-CN"/>
              </w:rPr>
              <w:t>1</w:t>
            </w:r>
            <w:r>
              <w:rPr>
                <w:rFonts w:hint="eastAsia" w:ascii="Times New Roman" w:hAnsi="Times New Roman" w:eastAsia="微软雅黑"/>
                <w:sz w:val="18"/>
              </w:rPr>
              <w:t>月，某汽车厂（一般纳税人）向4S店销售自产的超豪华小汽车，取得不含增值税销售额2 000万元；向消费者销售自产的超豪华小汽车，取得含增值税销售额339万元。已知超豪华小汽车在生产环节适用的消费税税率为40%，在零售环节适用的消费税税率为10%。请计算该汽车厂8月应缴纳的消费税税额。</w:t>
            </w:r>
          </w:p>
          <w:p w14:paraId="0471B4A3">
            <w:pPr>
              <w:pStyle w:val="4"/>
              <w:shd w:val="clear" w:color="auto" w:fill="FDF3ED"/>
              <w:ind w:firstLine="360" w:firstLineChars="200"/>
              <w:rPr>
                <w:b/>
              </w:rPr>
            </w:pPr>
            <w:r>
              <w:rPr>
                <w:rFonts w:hint="eastAsia"/>
                <w:b/>
              </w:rPr>
              <w:t>【解析】</w:t>
            </w:r>
          </w:p>
          <w:p w14:paraId="682CC326">
            <w:pPr>
              <w:pStyle w:val="4"/>
              <w:shd w:val="clear" w:color="auto" w:fill="FDF3ED"/>
              <w:ind w:firstLine="360" w:firstLineChars="200"/>
            </w:pPr>
            <w:r>
              <w:rPr>
                <w:rFonts w:hint="eastAsia"/>
              </w:rPr>
              <w:t>该汽车厂向4S店销售的自产超豪华小汽车应按照40%的税率计算应纳税额；直接销售给消费者的超豪华小汽车应按照生产环节税率和零售环节税率加总计算应纳税额。</w:t>
            </w:r>
          </w:p>
          <w:p w14:paraId="5717FAA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应缴纳的消费税税额=2 000×40%+339÷（1+13%）×（40%+10%）=950万元</w:t>
            </w:r>
          </w:p>
          <w:p w14:paraId="432247E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02198EE1">
            <w:pPr>
              <w:pStyle w:val="4"/>
              <w:ind w:firstLine="360" w:firstLineChars="200"/>
              <w:rPr>
                <w:b/>
                <w:lang w:bidi="ar"/>
              </w:rPr>
            </w:pPr>
            <w:r>
              <w:rPr>
                <w:rFonts w:hint="eastAsia"/>
                <w:b/>
                <w:lang w:bidi="ar"/>
              </w:rPr>
              <w:t>五、已纳消费税税额扣除的计算</w:t>
            </w:r>
          </w:p>
          <w:p w14:paraId="2031B9F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【教师】讲解消费税中已纳消费税税额扣除的计算</w:t>
            </w:r>
          </w:p>
          <w:p w14:paraId="638969E7">
            <w:pPr>
              <w:pStyle w:val="4"/>
              <w:ind w:firstLine="360" w:firstLineChars="200"/>
              <w:rPr>
                <w:b/>
                <w:lang w:bidi="ar"/>
              </w:rPr>
            </w:pPr>
            <w:r>
              <w:rPr>
                <w:rFonts w:hint="eastAsia"/>
                <w:b/>
                <w:lang w:bidi="ar"/>
              </w:rPr>
              <w:t>（一）外购应税消费品已纳消费税税额的扣除</w:t>
            </w:r>
          </w:p>
          <w:p w14:paraId="026F5149">
            <w:pPr>
              <w:pStyle w:val="4"/>
              <w:ind w:firstLine="360" w:firstLineChars="200"/>
              <w:rPr>
                <w:lang w:bidi="ar"/>
              </w:rPr>
            </w:pPr>
            <w:r>
              <w:rPr>
                <w:rFonts w:hint="eastAsia"/>
                <w:lang w:bidi="ar"/>
              </w:rPr>
              <w:t>由于某些应税消费品是用外购已缴纳消费税的应税消费品连续生产出来的，在对这些应税消费品计算纳税时，应按当期生产领用的外购应税消费品数量计算准予扣除的已纳消费税税额（含进口环节已纳消费税税额）。扣除范围包括以下情形。</w:t>
            </w:r>
          </w:p>
          <w:p w14:paraId="243E39EE">
            <w:pPr>
              <w:pStyle w:val="4"/>
              <w:ind w:firstLine="360" w:firstLineChars="200"/>
              <w:rPr>
                <w:lang w:bidi="ar"/>
              </w:rPr>
            </w:pPr>
            <w:r>
              <w:rPr>
                <w:rFonts w:hint="eastAsia"/>
                <w:lang w:bidi="ar"/>
              </w:rPr>
              <w:t>（1）以外购已税烟丝为原料生产的卷烟。</w:t>
            </w:r>
          </w:p>
          <w:p w14:paraId="2DC89478">
            <w:pPr>
              <w:pStyle w:val="4"/>
              <w:ind w:firstLine="360" w:firstLineChars="200"/>
              <w:rPr>
                <w:lang w:bidi="ar"/>
              </w:rPr>
            </w:pPr>
            <w:r>
              <w:rPr>
                <w:rFonts w:hint="eastAsia"/>
                <w:lang w:bidi="ar"/>
              </w:rPr>
              <w:t>（2）以外购已税高档化妆品为原料生产的高档化妆品。</w:t>
            </w:r>
          </w:p>
          <w:p w14:paraId="7BAF405F">
            <w:pPr>
              <w:pStyle w:val="4"/>
              <w:ind w:firstLine="360" w:firstLineChars="200"/>
              <w:rPr>
                <w:lang w:bidi="ar"/>
              </w:rPr>
            </w:pPr>
            <w:r>
              <w:rPr>
                <w:rFonts w:hint="eastAsia"/>
                <w:lang w:bidi="ar"/>
              </w:rPr>
              <w:t>（3）以外购已税珠宝玉石为原料生产的贵重首饰及珠宝玉石。</w:t>
            </w:r>
          </w:p>
          <w:p w14:paraId="2574990D">
            <w:pPr>
              <w:pStyle w:val="4"/>
              <w:ind w:firstLine="360" w:firstLineChars="200"/>
              <w:rPr>
                <w:lang w:bidi="ar"/>
              </w:rPr>
            </w:pPr>
            <w:r>
              <w:rPr>
                <w:rFonts w:hint="eastAsia"/>
                <w:lang w:bidi="ar"/>
              </w:rPr>
              <w:t>（4）以外购已税鞭炮、焰火为原料生产的鞭炮、焰火。</w:t>
            </w:r>
          </w:p>
          <w:p w14:paraId="15590A32">
            <w:pPr>
              <w:pStyle w:val="4"/>
              <w:ind w:firstLine="360" w:firstLineChars="200"/>
              <w:rPr>
                <w:lang w:bidi="ar"/>
              </w:rPr>
            </w:pPr>
            <w:r>
              <w:rPr>
                <w:rFonts w:hint="eastAsia"/>
                <w:lang w:bidi="ar"/>
              </w:rPr>
              <w:t>（5）以外购已税杆头、杆身和握把为原料生产的高尔夫球杆。</w:t>
            </w:r>
          </w:p>
          <w:p w14:paraId="3F5C3087">
            <w:pPr>
              <w:pStyle w:val="4"/>
              <w:ind w:firstLine="360" w:firstLineChars="200"/>
              <w:rPr>
                <w:lang w:bidi="ar"/>
              </w:rPr>
            </w:pPr>
            <w:r>
              <w:rPr>
                <w:rFonts w:hint="eastAsia"/>
                <w:lang w:bidi="ar"/>
              </w:rPr>
              <w:t>（6）以外购己税木制一次性筷子为原料生产的木制一次性筷子。</w:t>
            </w:r>
          </w:p>
          <w:p w14:paraId="7E65B21F">
            <w:pPr>
              <w:pStyle w:val="4"/>
              <w:ind w:firstLine="360" w:firstLineChars="200"/>
              <w:rPr>
                <w:lang w:bidi="ar"/>
              </w:rPr>
            </w:pPr>
            <w:r>
              <w:rPr>
                <w:rFonts w:hint="eastAsia"/>
                <w:lang w:bidi="ar"/>
              </w:rPr>
              <w:t>（7）以外购已税实木地板为原料生产的实木地板。</w:t>
            </w:r>
          </w:p>
          <w:p w14:paraId="3D8592B2">
            <w:pPr>
              <w:pStyle w:val="4"/>
              <w:ind w:firstLine="360" w:firstLineChars="200"/>
              <w:rPr>
                <w:lang w:bidi="ar"/>
              </w:rPr>
            </w:pPr>
            <w:r>
              <w:rPr>
                <w:rFonts w:hint="eastAsia"/>
                <w:lang w:bidi="ar"/>
              </w:rPr>
              <w:t>（8）以外购已税汽油、柴油、石脑油、燃料油、润滑油为原料生产的应税成品油。</w:t>
            </w:r>
          </w:p>
          <w:p w14:paraId="47E4C8C4">
            <w:pPr>
              <w:pStyle w:val="4"/>
              <w:ind w:firstLine="360" w:firstLineChars="200"/>
              <w:rPr>
                <w:lang w:bidi="ar"/>
              </w:rPr>
            </w:pPr>
            <w:r>
              <w:rPr>
                <w:rFonts w:hint="eastAsia"/>
                <w:lang w:bidi="ar"/>
              </w:rPr>
              <w:t>（9）以外购已税葡萄酒为原料生产的应税葡萄酒。</w:t>
            </w:r>
          </w:p>
          <w:p w14:paraId="0736C81E">
            <w:pPr>
              <w:pStyle w:val="4"/>
              <w:ind w:firstLine="360" w:firstLineChars="200"/>
              <w:rPr>
                <w:lang w:bidi="ar"/>
              </w:rPr>
            </w:pPr>
            <w:r>
              <w:rPr>
                <w:rFonts w:hint="eastAsia"/>
                <w:lang w:bidi="ar"/>
              </w:rPr>
              <w:t>上述当期准予扣除的外购应税消费品已纳消费税税额的计算公式如下：</w:t>
            </w:r>
          </w:p>
          <w:p w14:paraId="20C4BB4B">
            <w:pPr>
              <w:pStyle w:val="4"/>
              <w:ind w:firstLine="360" w:firstLineChars="200"/>
              <w:rPr>
                <w:lang w:bidi="ar"/>
              </w:rPr>
            </w:pPr>
          </w:p>
          <w:p w14:paraId="33D5A6CD">
            <w:pPr>
              <w:widowControl w:val="0"/>
              <w:shd w:val="clear" w:color="auto" w:fill="FFFFFF" w:themeFill="background1"/>
              <w:spacing w:after="0" w:line="240" w:lineRule="auto"/>
              <w:jc w:val="center"/>
              <w:rPr>
                <w:rFonts w:ascii="Times New Roman" w:hAnsi="Times New Roman" w:eastAsia="楷体"/>
                <w:b/>
                <w:kern w:val="2"/>
                <w:sz w:val="21"/>
              </w:rPr>
            </w:pPr>
            <w:r>
              <w:rPr>
                <w:rFonts w:ascii="Times New Roman" w:hAnsi="Times New Roman" w:eastAsia="微软雅黑"/>
                <w:sz w:val="18"/>
                <w:lang w:bidi="ar"/>
              </w:rPr>
              <w:t>当期准予扣除的外购应税消费品已纳税额</w:t>
            </w:r>
            <w:r>
              <w:rPr>
                <w:rFonts w:ascii="Times New Roman" w:hAnsi="Times New Roman" w:eastAsia="楷体"/>
                <w:kern w:val="2"/>
                <w:sz w:val="21"/>
                <w:shd w:val="clear" w:color="auto" w:fill="FEF6F9"/>
              </w:rPr>
              <w:t>=</w:t>
            </w:r>
            <w:r>
              <w:rPr>
                <w:rFonts w:ascii="Times New Roman" w:hAnsi="Times New Roman" w:eastAsia="楷体"/>
                <w:b/>
                <w:kern w:val="2"/>
                <w:position w:val="-24"/>
                <w:sz w:val="21"/>
                <w:shd w:val="clear" w:color="auto" w:fill="FEF6F9"/>
              </w:rPr>
              <w:object>
                <v:shape id="_x0000_i1025" o:spt="75" type="#_x0000_t75" style="height:28.5pt;width:84.9pt;" o:ole="t" fillcolor="#D3EDFB"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eastAsia="楷体"/>
                <w:b/>
                <w:kern w:val="2"/>
                <w:sz w:val="21"/>
                <w:shd w:val="clear" w:color="auto" w:fill="FEF6F9"/>
              </w:rPr>
              <w:t>×</w:t>
            </w:r>
            <w:r>
              <w:rPr>
                <w:rFonts w:ascii="Times New Roman" w:hAnsi="Times New Roman" w:eastAsia="楷体"/>
                <w:b/>
                <w:kern w:val="2"/>
                <w:position w:val="-24"/>
                <w:sz w:val="21"/>
                <w:shd w:val="clear" w:color="auto" w:fill="FEF6F9"/>
              </w:rPr>
              <w:object>
                <v:shape id="_x0000_i1026" o:spt="75" type="#_x0000_t75" style="height:28.5pt;width:67.15pt;" o:ole="t" fillcolor="#D3EDFB"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14:paraId="6DA67906">
            <w:pPr>
              <w:widowControl w:val="0"/>
              <w:shd w:val="clear" w:color="auto" w:fill="FFFFFF" w:themeFill="background1"/>
              <w:spacing w:before="40" w:after="40" w:line="240" w:lineRule="auto"/>
              <w:jc w:val="center"/>
              <w:rPr>
                <w:rFonts w:ascii="Times New Roman" w:hAnsi="Times New Roman"/>
                <w:b/>
                <w:kern w:val="2"/>
                <w:sz w:val="21"/>
                <w:shd w:val="clear" w:color="auto" w:fill="FEF6F9"/>
              </w:rPr>
            </w:pPr>
            <w:r>
              <w:rPr>
                <w:rFonts w:hint="eastAsia" w:ascii="Times New Roman" w:hAnsi="Times New Roman"/>
                <w:b/>
                <w:kern w:val="2"/>
                <w:position w:val="-24"/>
                <w:sz w:val="21"/>
                <w:shd w:val="clear" w:color="auto" w:fill="FEF6F9"/>
              </w:rPr>
              <w:object>
                <v:shape id="_x0000_i1027" o:spt="75" type="#_x0000_t75" style="height:28.5pt;width:84.9pt;" o:ole="t" fillcolor="#D3EDFB"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imes New Roman" w:hAnsi="Times New Roman"/>
                <w:b/>
                <w:kern w:val="2"/>
                <w:sz w:val="21"/>
                <w:shd w:val="clear" w:color="auto" w:fill="FEF6F9"/>
              </w:rPr>
              <w:t>=</w:t>
            </w:r>
            <w:r>
              <w:rPr>
                <w:rFonts w:hint="eastAsia" w:ascii="Times New Roman" w:hAnsi="Times New Roman"/>
                <w:b/>
                <w:kern w:val="2"/>
                <w:position w:val="-24"/>
                <w:sz w:val="21"/>
                <w:shd w:val="clear" w:color="auto" w:fill="FEF6F9"/>
              </w:rPr>
              <w:object>
                <v:shape id="_x0000_i1028" o:spt="75" type="#_x0000_t75" style="height:28.5pt;width:75.75pt;" o:ole="t" fillcolor="#D3EDFB"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Times New Roman" w:hAnsi="Times New Roman"/>
                <w:b/>
                <w:kern w:val="2"/>
                <w:sz w:val="21"/>
                <w:shd w:val="clear" w:color="auto" w:fill="FEF6F9"/>
              </w:rPr>
              <w:t>+</w:t>
            </w:r>
            <w:r>
              <w:rPr>
                <w:rFonts w:hint="eastAsia" w:ascii="Times New Roman" w:hAnsi="Times New Roman"/>
                <w:b/>
                <w:kern w:val="2"/>
                <w:position w:val="-24"/>
                <w:sz w:val="21"/>
                <w:shd w:val="clear" w:color="auto" w:fill="FEF6F9"/>
              </w:rPr>
              <w:object>
                <v:shape id="_x0000_i1029" o:spt="75" type="#_x0000_t75" style="height:28.5pt;width:67.15pt;" o:ole="t" fillcolor="#D3EDFB"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b/>
                <w:kern w:val="2"/>
                <w:sz w:val="21"/>
                <w:shd w:val="clear" w:color="auto" w:fill="FEF6F9"/>
              </w:rPr>
              <w:t>−</w:t>
            </w:r>
            <w:r>
              <w:rPr>
                <w:rFonts w:hint="eastAsia" w:ascii="Times New Roman" w:hAnsi="Times New Roman"/>
                <w:b/>
                <w:kern w:val="2"/>
                <w:position w:val="-24"/>
                <w:sz w:val="21"/>
                <w:shd w:val="clear" w:color="auto" w:fill="FEF6F9"/>
              </w:rPr>
              <w:object>
                <v:shape id="_x0000_i1030" o:spt="75" type="#_x0000_t75" style="height:28.5pt;width:75.75pt;" o:ole="t" fillcolor="#D3EDFB"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p w14:paraId="1D270385">
            <w:pPr>
              <w:widowControl w:val="0"/>
              <w:shd w:val="clear" w:color="auto" w:fill="FFFFFF" w:themeFill="background1"/>
              <w:spacing w:before="40" w:after="40" w:line="240" w:lineRule="auto"/>
              <w:jc w:val="center"/>
              <w:rPr>
                <w:rFonts w:ascii="Times New Roman" w:hAnsi="Times New Roman"/>
                <w:b/>
                <w:kern w:val="2"/>
                <w:sz w:val="21"/>
                <w:shd w:val="clear" w:color="auto" w:fill="FEF6F9"/>
              </w:rPr>
            </w:pPr>
          </w:p>
          <w:p w14:paraId="7FA92581">
            <w:pPr>
              <w:widowControl w:val="0"/>
              <w:shd w:val="clear" w:color="auto" w:fill="FFFFFF" w:themeFill="background1"/>
              <w:spacing w:before="40" w:after="40" w:line="240" w:lineRule="auto"/>
              <w:jc w:val="center"/>
              <w:rPr>
                <w:rFonts w:ascii="Times New Roman" w:hAnsi="Times New Roman"/>
                <w:b/>
                <w:kern w:val="2"/>
                <w:sz w:val="21"/>
                <w:shd w:val="clear" w:color="auto" w:fill="FADCE9"/>
              </w:rPr>
            </w:pPr>
          </w:p>
          <w:p w14:paraId="357F4926">
            <w:pPr>
              <w:pStyle w:val="4"/>
              <w:shd w:val="clear" w:color="auto" w:fill="FDF3ED"/>
              <w:ind w:firstLine="360" w:firstLineChars="200"/>
              <w:rPr>
                <w:rFonts w:ascii="MS Mincho" w:hAnsi="MS Mincho" w:cs="MS Mincho"/>
                <w:b/>
              </w:rPr>
            </w:pPr>
            <w:r>
              <w:rPr>
                <w:rFonts w:hint="eastAsia"/>
                <w:b/>
              </w:rPr>
              <w:t>【课堂练习】</w:t>
            </w:r>
          </w:p>
          <w:p w14:paraId="11F4C01A">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外购应税消费品已纳消费税税额的扣除方法</w:t>
            </w:r>
          </w:p>
          <w:p w14:paraId="74AEA6D5">
            <w:pPr>
              <w:shd w:val="clear" w:color="auto" w:fill="FDF3ED"/>
              <w:ind w:firstLine="402" w:firstLineChars="200"/>
              <w:rPr>
                <w:rFonts w:ascii="Times New Roman" w:hAnsi="Times New Roman" w:eastAsia="微软雅黑"/>
                <w:sz w:val="18"/>
              </w:rPr>
            </w:pPr>
            <w:r>
              <w:rPr>
                <w:rFonts w:hint="eastAsia"/>
                <w:b/>
              </w:rPr>
              <w:t>【例</w:t>
            </w:r>
            <w:r>
              <w:rPr>
                <w:rFonts w:hint="eastAsia"/>
                <w:b/>
                <w:lang w:val="en-US" w:eastAsia="zh-CN"/>
              </w:rPr>
              <w:t>3</w:t>
            </w:r>
            <w:r>
              <w:rPr>
                <w:b/>
              </w:rPr>
              <w:t>-</w:t>
            </w:r>
            <w:r>
              <w:rPr>
                <w:rFonts w:hint="eastAsia"/>
                <w:b/>
                <w:lang w:val="en-US" w:eastAsia="zh-CN"/>
              </w:rPr>
              <w:t>7</w:t>
            </w:r>
            <w:r>
              <w:rPr>
                <w:rFonts w:hint="eastAsia"/>
                <w:b/>
              </w:rPr>
              <w:t>】</w:t>
            </w:r>
            <w:r>
              <w:rPr>
                <w:rFonts w:hint="eastAsia" w:ascii="Times New Roman" w:hAnsi="Times New Roman" w:eastAsia="微软雅黑"/>
                <w:sz w:val="18"/>
                <w:lang w:val="en-US" w:eastAsia="zh-CN"/>
              </w:rPr>
              <w:t>1</w:t>
            </w:r>
            <w:r>
              <w:rPr>
                <w:rFonts w:hint="eastAsia" w:ascii="Times New Roman" w:hAnsi="Times New Roman" w:eastAsia="微软雅黑"/>
                <w:sz w:val="18"/>
              </w:rPr>
              <w:t>月，某卷烟生产企业月初库存外购已税烟丝的金额为7.5万元，当月外购已税烟丝的金额为10万元（不含增值税），月末库存外购已税烟丝的金额为3.5万元。当月，该企业用外购烟丝生产30个标准箱的乙类卷烟，并将卷烟全部销售，取得不含增值税销售额30万元。已知烟丝适用的消费税税率为30%；乙类卷烟适用的消费税税率为比例税率36%，定额税率150元/箱。请计算该卷烟生产企业当月应缴纳的消费税税额。</w:t>
            </w:r>
          </w:p>
          <w:p w14:paraId="57AA8CA1">
            <w:pPr>
              <w:pStyle w:val="4"/>
              <w:shd w:val="clear" w:color="auto" w:fill="FDF3ED"/>
              <w:ind w:firstLine="360" w:firstLineChars="200"/>
              <w:rPr>
                <w:b/>
              </w:rPr>
            </w:pPr>
            <w:r>
              <w:rPr>
                <w:rFonts w:hint="eastAsia"/>
                <w:b/>
              </w:rPr>
              <w:t>【解析】</w:t>
            </w:r>
          </w:p>
          <w:p w14:paraId="360D9A1A">
            <w:pPr>
              <w:pStyle w:val="4"/>
              <w:shd w:val="clear" w:color="auto" w:fill="FDF3ED"/>
              <w:ind w:firstLine="360" w:firstLineChars="200"/>
            </w:pPr>
            <w:r>
              <w:rPr>
                <w:rFonts w:hint="eastAsia"/>
              </w:rPr>
              <w:t>当月领用的外购已税烟丝买价</w:t>
            </w:r>
            <w:r>
              <w:t>=7.5+10−3.5=14</w:t>
            </w:r>
            <w:r>
              <w:rPr>
                <w:rFonts w:hint="eastAsia"/>
              </w:rPr>
              <w:t>万元</w:t>
            </w:r>
          </w:p>
          <w:p w14:paraId="736F06B4">
            <w:pPr>
              <w:pStyle w:val="4"/>
              <w:shd w:val="clear" w:color="auto" w:fill="FDF3ED"/>
              <w:ind w:firstLine="360" w:firstLineChars="200"/>
            </w:pPr>
            <w:r>
              <w:rPr>
                <w:rFonts w:hint="eastAsia"/>
              </w:rPr>
              <w:t>当月准予扣除的外购烟丝已缴纳的消费税税额=14×30%=4.2万元</w:t>
            </w:r>
          </w:p>
          <w:p w14:paraId="01E9451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当月应缴纳的消费税税额</w:t>
            </w:r>
            <w:r>
              <w:rPr>
                <w:rFonts w:ascii="Times New Roman" w:hAnsi="Times New Roman" w:eastAsia="微软雅黑"/>
                <w:sz w:val="18"/>
              </w:rPr>
              <w:t>=30×36%+30×150÷10 000−4.2=7.05</w:t>
            </w:r>
            <w:r>
              <w:rPr>
                <w:rFonts w:hint="eastAsia" w:ascii="Times New Roman" w:hAnsi="Times New Roman" w:eastAsia="微软雅黑"/>
                <w:sz w:val="18"/>
              </w:rPr>
              <w:t>万元</w:t>
            </w:r>
          </w:p>
          <w:p w14:paraId="46ADB60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47B90D36">
            <w:pPr>
              <w:pStyle w:val="4"/>
              <w:ind w:firstLine="360" w:firstLineChars="200"/>
              <w:rPr>
                <w:b/>
                <w:lang w:bidi="ar"/>
              </w:rPr>
            </w:pPr>
            <w:r>
              <w:rPr>
                <w:rFonts w:hint="eastAsia"/>
                <w:b/>
                <w:lang w:bidi="ar"/>
              </w:rPr>
              <w:t>（二）委托加工收回的应税消费品已纳消费税税额的扣除</w:t>
            </w:r>
          </w:p>
          <w:p w14:paraId="2AA119DA">
            <w:pPr>
              <w:pStyle w:val="4"/>
              <w:ind w:firstLine="360" w:firstLineChars="200"/>
              <w:rPr>
                <w:lang w:bidi="ar"/>
              </w:rPr>
            </w:pPr>
            <w:r>
              <w:rPr>
                <w:rFonts w:hint="eastAsia"/>
                <w:lang w:bidi="ar"/>
              </w:rPr>
              <w:t>委托方收回货物后用于连续生产应税消费品的，其已纳消费税税额准予按规定扣除。委托方将收回的应税消费品，以不高于受托方的计税价格出售的，为直接出售，不再缴纳消费税；委托方以高于受托方的计税价格出售的，不属于直接出售，应按照规定缴纳消费税，在计税时准予扣除受托方已代收代缴的消费税。扣除范围包括以下情形。</w:t>
            </w:r>
          </w:p>
          <w:p w14:paraId="7F19D7E3">
            <w:pPr>
              <w:pStyle w:val="4"/>
              <w:ind w:firstLine="360" w:firstLineChars="200"/>
              <w:rPr>
                <w:lang w:bidi="ar"/>
              </w:rPr>
            </w:pPr>
            <w:r>
              <w:rPr>
                <w:rFonts w:hint="eastAsia"/>
                <w:lang w:bidi="ar"/>
              </w:rPr>
              <w:t>（1）以委托加工收回的已税烟丝为原料生产的卷烟。</w:t>
            </w:r>
          </w:p>
          <w:p w14:paraId="551A593C">
            <w:pPr>
              <w:pStyle w:val="4"/>
              <w:ind w:firstLine="360" w:firstLineChars="200"/>
              <w:rPr>
                <w:lang w:bidi="ar"/>
              </w:rPr>
            </w:pPr>
            <w:r>
              <w:rPr>
                <w:rFonts w:hint="eastAsia"/>
                <w:lang w:bidi="ar"/>
              </w:rPr>
              <w:t>（2）以委托加工收回的已税高档化妆品为原料生产的高档化妆品。</w:t>
            </w:r>
          </w:p>
          <w:p w14:paraId="23736478">
            <w:pPr>
              <w:pStyle w:val="4"/>
              <w:ind w:firstLine="360" w:firstLineChars="200"/>
              <w:rPr>
                <w:lang w:bidi="ar"/>
              </w:rPr>
            </w:pPr>
            <w:r>
              <w:rPr>
                <w:rFonts w:hint="eastAsia"/>
                <w:lang w:bidi="ar"/>
              </w:rPr>
              <w:t>（3）以委托加工收回的已税珠宝玉石为原料生产的贵重首饰及珠宝玉石。</w:t>
            </w:r>
          </w:p>
          <w:p w14:paraId="3B14416D">
            <w:pPr>
              <w:pStyle w:val="4"/>
              <w:ind w:firstLine="360" w:firstLineChars="200"/>
              <w:rPr>
                <w:lang w:bidi="ar"/>
              </w:rPr>
            </w:pPr>
            <w:r>
              <w:rPr>
                <w:rFonts w:hint="eastAsia"/>
                <w:lang w:bidi="ar"/>
              </w:rPr>
              <w:t>（4）以委托加工收回的已税鞭炮、焰火为原料生产的鞭炮、焰火。</w:t>
            </w:r>
          </w:p>
          <w:p w14:paraId="0F533CD5">
            <w:pPr>
              <w:pStyle w:val="4"/>
              <w:ind w:firstLine="360" w:firstLineChars="200"/>
              <w:rPr>
                <w:lang w:bidi="ar"/>
              </w:rPr>
            </w:pPr>
            <w:r>
              <w:rPr>
                <w:rFonts w:hint="eastAsia"/>
                <w:lang w:bidi="ar"/>
              </w:rPr>
              <w:t>（5）以委托加工收回的已税杆头、杆身和握把为原料生产的高尔夫球杆。</w:t>
            </w:r>
          </w:p>
          <w:p w14:paraId="4B1F60C3">
            <w:pPr>
              <w:pStyle w:val="4"/>
              <w:ind w:firstLine="360" w:firstLineChars="200"/>
              <w:rPr>
                <w:lang w:bidi="ar"/>
              </w:rPr>
            </w:pPr>
            <w:r>
              <w:rPr>
                <w:rFonts w:hint="eastAsia"/>
                <w:lang w:bidi="ar"/>
              </w:rPr>
              <w:t>（6）以委托加工收回的已税木制一次性筷子为原料生产的木制一次性筷子。</w:t>
            </w:r>
          </w:p>
          <w:p w14:paraId="134B69E3">
            <w:pPr>
              <w:pStyle w:val="4"/>
              <w:ind w:firstLine="360" w:firstLineChars="200"/>
              <w:rPr>
                <w:lang w:bidi="ar"/>
              </w:rPr>
            </w:pPr>
            <w:r>
              <w:rPr>
                <w:rFonts w:hint="eastAsia"/>
                <w:lang w:bidi="ar"/>
              </w:rPr>
              <w:t>（7）以委托加工收回的已税实木地板为原料生产的实木地板。</w:t>
            </w:r>
          </w:p>
          <w:p w14:paraId="544EB8E6">
            <w:pPr>
              <w:pStyle w:val="4"/>
              <w:ind w:firstLine="360" w:firstLineChars="200"/>
              <w:rPr>
                <w:lang w:bidi="ar"/>
              </w:rPr>
            </w:pPr>
            <w:r>
              <w:rPr>
                <w:rFonts w:hint="eastAsia"/>
                <w:lang w:bidi="ar"/>
              </w:rPr>
              <w:t>（8）以委托加工收回的已税汽油、柴油、石脑油、燃料油、润滑油为原料生产的应税成品油。</w:t>
            </w:r>
          </w:p>
          <w:p w14:paraId="06BFB103">
            <w:pPr>
              <w:pStyle w:val="4"/>
              <w:ind w:firstLine="360" w:firstLineChars="200"/>
              <w:rPr>
                <w:lang w:bidi="ar"/>
              </w:rPr>
            </w:pPr>
            <w:r>
              <w:rPr>
                <w:rFonts w:hint="eastAsia"/>
                <w:lang w:bidi="ar"/>
              </w:rPr>
              <w:t>上述当期准予扣除的委托加工应税消费品已纳消费税税额的计算公式如下：</w:t>
            </w:r>
          </w:p>
          <w:p w14:paraId="18280C6F">
            <w:pPr>
              <w:spacing w:before="40" w:after="40"/>
              <w:jc w:val="center"/>
              <w:rPr>
                <w:shd w:val="clear" w:color="auto" w:fill="FADCE9"/>
              </w:rPr>
            </w:pPr>
            <w:r>
              <w:rPr>
                <w:rFonts w:hint="eastAsia"/>
                <w:position w:val="-40"/>
                <w:shd w:val="clear" w:color="auto" w:fill="FEF6F9"/>
              </w:rPr>
              <w:object>
                <v:shape id="_x0000_i1031" o:spt="75" type="#_x0000_t75" style="height:45.65pt;width:84.9pt;" o:ole="t" fillcolor="#D3EDFB"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shd w:val="clear" w:color="auto" w:fill="FEF6F9"/>
              </w:rPr>
              <w:t>=</w:t>
            </w:r>
            <w:r>
              <w:rPr>
                <w:rFonts w:hint="eastAsia"/>
                <w:position w:val="-40"/>
                <w:shd w:val="clear" w:color="auto" w:fill="FEF6F9"/>
              </w:rPr>
              <w:object>
                <v:shape id="_x0000_i1032" o:spt="75" type="#_x0000_t75" style="height:45.65pt;width:67.15pt;" o:ole="t" fillcolor="#D3EDFB"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shd w:val="clear" w:color="auto" w:fill="FEF6F9"/>
              </w:rPr>
              <w:t>+</w:t>
            </w:r>
            <w:r>
              <w:rPr>
                <w:rFonts w:hint="eastAsia"/>
                <w:position w:val="-40"/>
                <w:shd w:val="clear" w:color="auto" w:fill="FEF6F9"/>
              </w:rPr>
              <w:object>
                <v:shape id="_x0000_i1033" o:spt="75" type="#_x0000_t75" style="height:45.65pt;width:67.15pt;" o:ole="t" fillcolor="#D3EDFB"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shd w:val="clear" w:color="auto" w:fill="FEF6F9"/>
              </w:rPr>
              <w:t>−</w:t>
            </w:r>
            <w:r>
              <w:rPr>
                <w:rFonts w:hint="eastAsia"/>
                <w:position w:val="-40"/>
                <w:shd w:val="clear" w:color="auto" w:fill="FEF6F9"/>
              </w:rPr>
              <w:object>
                <v:shape id="_x0000_i1034" o:spt="75" type="#_x0000_t75" style="height:45.65pt;width:67.15pt;" o:ole="t" fillcolor="#D3EDFB"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p>
          <w:p w14:paraId="14B07D7E">
            <w:pPr>
              <w:pStyle w:val="4"/>
              <w:shd w:val="clear" w:color="auto" w:fill="FDF3ED"/>
              <w:ind w:firstLine="360" w:firstLineChars="200"/>
              <w:rPr>
                <w:rFonts w:ascii="MS Mincho" w:hAnsi="MS Mincho" w:cs="MS Mincho"/>
                <w:b/>
              </w:rPr>
            </w:pPr>
            <w:r>
              <w:rPr>
                <w:rFonts w:hint="eastAsia"/>
                <w:b/>
              </w:rPr>
              <w:t>【课堂互动】</w:t>
            </w:r>
          </w:p>
          <w:p w14:paraId="04D8D15C">
            <w:pPr>
              <w:pStyle w:val="4"/>
              <w:shd w:val="clear" w:color="auto" w:fill="FDF3ED"/>
              <w:ind w:firstLine="360" w:firstLineChars="200"/>
              <w:rPr>
                <w:b/>
              </w:rPr>
            </w:pPr>
            <w:r>
              <w:rPr>
                <w:rFonts w:ascii="MS Mincho" w:hAnsi="MS Mincho" w:cs="MS Mincho"/>
                <w:b/>
              </w:rPr>
              <w:t>✈</w:t>
            </w:r>
            <w:r>
              <w:rPr>
                <w:rFonts w:hint="eastAsia"/>
                <w:b/>
              </w:rPr>
              <w:t>【教师】提出问题</w:t>
            </w:r>
          </w:p>
          <w:p w14:paraId="78A29947">
            <w:pPr>
              <w:pStyle w:val="4"/>
              <w:shd w:val="clear" w:color="auto" w:fill="FDF3ED"/>
              <w:ind w:firstLine="360" w:firstLineChars="200"/>
            </w:pPr>
            <w:r>
              <w:rPr>
                <w:rFonts w:hint="eastAsia"/>
              </w:rPr>
              <w:t>纳税人用委托加工收回的已税珠宝玉石生产的，改在零售环节缴纳消费税的金银首饰，在计税时要不要扣除已纳消费税税额</w:t>
            </w:r>
            <w:r>
              <w:t>？</w:t>
            </w:r>
          </w:p>
          <w:p w14:paraId="0BF5C8A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B42A168">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F3D2AD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纳税人用委托加工收回的已税珠宝玉石生产的，改在零售环节缴纳消费税的金银首饰，在计税时一律不得扣除已纳消费税税额。</w:t>
            </w:r>
          </w:p>
          <w:p w14:paraId="557C85FA">
            <w:pPr>
              <w:pStyle w:val="4"/>
              <w:ind w:left="-168" w:leftChars="-84" w:firstLine="360" w:firstLineChars="200"/>
              <w:rPr>
                <w:rFonts w:ascii="微软雅黑" w:hAnsi="微软雅黑"/>
                <w:b/>
                <w:color w:val="833C0B"/>
              </w:rPr>
            </w:pPr>
            <w:r>
              <w:rPr>
                <w:rFonts w:hint="eastAsia" w:ascii="微软雅黑" w:hAnsi="微软雅黑"/>
                <w:b/>
                <w:color w:val="833C0B"/>
              </w:rPr>
              <w:t>【学生】聆听、思考、</w:t>
            </w:r>
            <w:r>
              <w:rPr>
                <w:rFonts w:ascii="微软雅黑" w:hAnsi="微软雅黑"/>
                <w:b/>
                <w:color w:val="833C0B"/>
              </w:rPr>
              <w:t>理解、记录</w:t>
            </w:r>
          </w:p>
        </w:tc>
      </w:tr>
      <w:tr w14:paraId="1E54475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C839EA5">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19E7A2C8">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计算公司</w:t>
            </w:r>
            <w:r>
              <w:rPr>
                <w:rFonts w:hint="default" w:ascii="Arial" w:hAnsi="Arial" w:cs="Arial"/>
                <w:b/>
                <w:color w:val="1F4E79"/>
              </w:rPr>
              <w:t>××</w:t>
            </w:r>
            <w:r>
              <w:rPr>
                <w:rFonts w:hint="eastAsia" w:ascii="微软雅黑" w:hAnsi="微软雅黑"/>
                <w:b/>
                <w:color w:val="1F4E79"/>
              </w:rPr>
              <w:t>年</w:t>
            </w:r>
            <w:r>
              <w:rPr>
                <w:rFonts w:hint="eastAsia" w:ascii="微软雅黑" w:hAnsi="微软雅黑"/>
                <w:b/>
                <w:color w:val="1F4E79"/>
                <w:lang w:val="en-US" w:eastAsia="zh-CN"/>
              </w:rPr>
              <w:t>7</w:t>
            </w:r>
            <w:r>
              <w:rPr>
                <w:rFonts w:hint="eastAsia" w:ascii="微软雅黑" w:hAnsi="微软雅黑"/>
                <w:b/>
                <w:color w:val="1F4E79"/>
              </w:rPr>
              <w:t>月应缴纳的消费税税额</w:t>
            </w:r>
          </w:p>
          <w:p w14:paraId="1AD7268E">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006BD6B1">
            <w:pPr>
              <w:pStyle w:val="4"/>
              <w:ind w:left="200" w:leftChars="100"/>
              <w:rPr>
                <w:rFonts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3C448F3A">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根据公司发生的经济业务，逐笔计算应纳税额。</w:t>
            </w:r>
          </w:p>
          <w:p w14:paraId="0E8B67FA">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r>
              <w:rPr>
                <w:rFonts w:hint="eastAsia" w:ascii="微软雅黑" w:hAnsi="微软雅黑"/>
                <w:kern w:val="2"/>
                <w:szCs w:val="18"/>
                <w:lang w:val="en-US" w:eastAsia="zh-CN"/>
              </w:rPr>
              <w:t>7</w:t>
            </w:r>
            <w:r>
              <w:rPr>
                <w:rFonts w:hint="eastAsia" w:ascii="微软雅黑" w:hAnsi="微软雅黑"/>
                <w:kern w:val="2"/>
                <w:szCs w:val="18"/>
                <w:lang w:val="zh-CN" w:eastAsia="zh-CN"/>
              </w:rPr>
              <w:t>月应缴纳的消费税总额。</w:t>
            </w:r>
          </w:p>
          <w:p w14:paraId="55EE60E4">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6CC5154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8EEA496">
            <w:pPr>
              <w:pStyle w:val="4"/>
              <w:jc w:val="center"/>
            </w:pPr>
            <w:r>
              <w:rPr>
                <w:rFonts w:hint="eastAsia" w:ascii="微软雅黑" w:hAnsi="微软雅黑"/>
                <w:b/>
              </w:rPr>
              <w:t>课堂小结</w:t>
            </w:r>
          </w:p>
        </w:tc>
        <w:tc>
          <w:tcPr>
            <w:tcW w:w="8363" w:type="dxa"/>
            <w:gridSpan w:val="2"/>
            <w:shd w:val="clear" w:color="auto" w:fill="FFFFFF"/>
            <w:vAlign w:val="center"/>
          </w:tcPr>
          <w:p w14:paraId="4B84A62E">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2F7F7CDB">
            <w:pPr>
              <w:pStyle w:val="4"/>
              <w:ind w:firstLine="360" w:firstLineChars="200"/>
            </w:pPr>
            <w:r>
              <w:rPr>
                <w:rFonts w:hint="eastAsia"/>
              </w:rPr>
              <w:t>消费税征税环节应纳税额计算：生产销售环节、委托加工环节、进口环节、特殊环节</w:t>
            </w:r>
          </w:p>
          <w:p w14:paraId="76D289E6">
            <w:pPr>
              <w:pStyle w:val="4"/>
              <w:ind w:firstLine="360" w:firstLineChars="200"/>
            </w:pPr>
            <w:r>
              <w:rPr>
                <w:rFonts w:hint="eastAsia"/>
              </w:rPr>
              <w:t>已纳消费税税额扣除的计算</w:t>
            </w:r>
          </w:p>
          <w:p w14:paraId="27B37862">
            <w:pPr>
              <w:pStyle w:val="4"/>
              <w:ind w:firstLine="180" w:firstLineChars="100"/>
            </w:pPr>
            <w:r>
              <w:rPr>
                <w:rFonts w:hint="eastAsia" w:ascii="微软雅黑" w:hAnsi="微软雅黑"/>
                <w:b/>
                <w:color w:val="833C0B"/>
              </w:rPr>
              <w:t>【学生】总结回顾知识点</w:t>
            </w:r>
          </w:p>
        </w:tc>
      </w:tr>
      <w:tr w14:paraId="1458AC9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285AEB0">
            <w:pPr>
              <w:pStyle w:val="4"/>
              <w:jc w:val="center"/>
            </w:pPr>
            <w:r>
              <w:rPr>
                <w:rFonts w:hint="eastAsia" w:ascii="微软雅黑" w:hAnsi="微软雅黑"/>
                <w:b/>
              </w:rPr>
              <w:t>作业布置</w:t>
            </w:r>
          </w:p>
        </w:tc>
        <w:tc>
          <w:tcPr>
            <w:tcW w:w="8363" w:type="dxa"/>
            <w:gridSpan w:val="2"/>
            <w:shd w:val="clear" w:color="auto" w:fill="FFFFFF"/>
            <w:vAlign w:val="center"/>
          </w:tcPr>
          <w:p w14:paraId="591881A5">
            <w:pPr>
              <w:pStyle w:val="4"/>
              <w:ind w:left="200" w:leftChars="100"/>
              <w:rPr>
                <w:rFonts w:ascii="微软雅黑" w:hAnsi="微软雅黑"/>
                <w:b/>
                <w:color w:val="1F4E79"/>
              </w:rPr>
            </w:pPr>
            <w:r>
              <w:rPr>
                <w:rFonts w:hint="eastAsia" w:ascii="微软雅黑" w:hAnsi="微软雅黑"/>
                <w:b/>
                <w:color w:val="1F4E79"/>
              </w:rPr>
              <w:t>【教师】布置课后作业</w:t>
            </w:r>
          </w:p>
          <w:p w14:paraId="4E186AC3">
            <w:pPr>
              <w:pStyle w:val="4"/>
              <w:jc w:val="center"/>
            </w:pPr>
          </w:p>
          <w:p w14:paraId="403F76B9">
            <w:pPr>
              <w:pStyle w:val="4"/>
              <w:ind w:firstLine="180" w:firstLineChars="100"/>
              <w:rPr>
                <w:rFonts w:hint="eastAsia"/>
                <w:lang w:val="en-US" w:eastAsia="zh-CN"/>
              </w:rPr>
            </w:pPr>
            <w:r>
              <w:rPr>
                <w:rFonts w:hint="eastAsia"/>
                <w:lang w:val="en-US" w:eastAsia="zh-CN"/>
              </w:rPr>
              <w:t>见配套习题与实训教材</w:t>
            </w:r>
          </w:p>
          <w:p w14:paraId="47AE115E">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580B522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7F7D3AE">
            <w:pPr>
              <w:pStyle w:val="4"/>
              <w:jc w:val="center"/>
            </w:pPr>
            <w:r>
              <w:rPr>
                <w:rFonts w:hint="eastAsia" w:ascii="微软雅黑" w:hAnsi="微软雅黑"/>
                <w:b/>
              </w:rPr>
              <w:t>教学反思</w:t>
            </w:r>
          </w:p>
        </w:tc>
        <w:tc>
          <w:tcPr>
            <w:tcW w:w="8363" w:type="dxa"/>
            <w:gridSpan w:val="2"/>
            <w:shd w:val="clear" w:color="auto" w:fill="FFFFFF"/>
            <w:vAlign w:val="center"/>
          </w:tcPr>
          <w:p w14:paraId="096DBBA6">
            <w:pPr>
              <w:pStyle w:val="4"/>
              <w:ind w:firstLine="360" w:firstLineChars="200"/>
            </w:pPr>
          </w:p>
          <w:p w14:paraId="0B269BFA">
            <w:pPr>
              <w:pStyle w:val="4"/>
              <w:ind w:firstLine="360" w:firstLineChars="200"/>
            </w:pPr>
          </w:p>
          <w:p w14:paraId="3BF6D7C2">
            <w:pPr>
              <w:pStyle w:val="4"/>
              <w:ind w:firstLine="360" w:firstLineChars="200"/>
            </w:pPr>
            <w:bookmarkStart w:id="0" w:name="_GoBack"/>
            <w:bookmarkEnd w:id="0"/>
          </w:p>
        </w:tc>
      </w:tr>
    </w:tbl>
    <w:p w14:paraId="6AB2BB3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F2EB4"/>
    <w:rsid w:val="076B5EEF"/>
    <w:rsid w:val="07FE4713"/>
    <w:rsid w:val="20D93300"/>
    <w:rsid w:val="2CF47B87"/>
    <w:rsid w:val="7C0E0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8784</Words>
  <Characters>9329</Characters>
  <Lines>0</Lines>
  <Paragraphs>0</Paragraphs>
  <TotalTime>12</TotalTime>
  <ScaleCrop>false</ScaleCrop>
  <LinksUpToDate>false</LinksUpToDate>
  <CharactersWithSpaces>9422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2025-02-13T02:31:00Z</dcterms:created>
  <dc:creator>admin</dc:creator>
  <cp:lastModifiedBy>星回°</cp:lastModifiedBy>
  <dcterms:modified xsi:type="dcterms:W3CDTF">2025-03-04T09:37:56Z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7F16D5365D90409D99B581B028019AD7_12</vt:lpwstr>
  </property>
</Properties>
</file>